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A40" w:rsidRPr="0031475B" w:rsidRDefault="00D12ADE" w:rsidP="0031475B">
      <w:pPr>
        <w:pStyle w:val="Heading1"/>
        <w:pPrChange w:id="0" w:author="MARY MENGEL" w:date="2013-06-04T14:03:00Z">
          <w:pPr>
            <w:jc w:val="center"/>
          </w:pPr>
        </w:pPrChange>
      </w:pPr>
      <w:r w:rsidRPr="0031475B">
        <w:t xml:space="preserve">Hybrid Course Development – </w:t>
      </w:r>
      <w:r w:rsidR="00762BD9" w:rsidRPr="0031475B">
        <w:t>ENGR 497</w:t>
      </w:r>
    </w:p>
    <w:p w:rsidR="0021042E" w:rsidRPr="00875700" w:rsidRDefault="00762BD9" w:rsidP="0021042E">
      <w:pPr>
        <w:jc w:val="center"/>
        <w:rPr>
          <w:b/>
        </w:rPr>
      </w:pPr>
      <w:r>
        <w:rPr>
          <w:b/>
        </w:rPr>
        <w:t xml:space="preserve">Dr. </w:t>
      </w:r>
      <w:proofErr w:type="spellStart"/>
      <w:r>
        <w:rPr>
          <w:b/>
        </w:rPr>
        <w:t>Sadan</w:t>
      </w:r>
      <w:proofErr w:type="spellEnd"/>
      <w:r>
        <w:rPr>
          <w:b/>
        </w:rPr>
        <w:t xml:space="preserve"> </w:t>
      </w:r>
      <w:proofErr w:type="spellStart"/>
      <w:r>
        <w:rPr>
          <w:b/>
        </w:rPr>
        <w:t>Kulturel</w:t>
      </w:r>
      <w:proofErr w:type="spellEnd"/>
    </w:p>
    <w:p w:rsidR="0021042E" w:rsidRDefault="00D12ADE" w:rsidP="00762BD9">
      <w:pPr>
        <w:jc w:val="center"/>
        <w:rPr>
          <w:b/>
        </w:rPr>
      </w:pPr>
      <w:r>
        <w:rPr>
          <w:b/>
        </w:rPr>
        <w:t>Design</w:t>
      </w:r>
      <w:r w:rsidR="00AD71C5">
        <w:rPr>
          <w:b/>
        </w:rPr>
        <w:t xml:space="preserve"> and Development</w:t>
      </w:r>
      <w:r>
        <w:rPr>
          <w:b/>
        </w:rPr>
        <w:t xml:space="preserve">: </w:t>
      </w:r>
      <w:r w:rsidR="00762BD9">
        <w:rPr>
          <w:b/>
        </w:rPr>
        <w:t xml:space="preserve">Summer – </w:t>
      </w:r>
      <w:proofErr w:type="gramStart"/>
      <w:r w:rsidR="00762BD9">
        <w:rPr>
          <w:b/>
        </w:rPr>
        <w:t>Fall</w:t>
      </w:r>
      <w:proofErr w:type="gramEnd"/>
      <w:r w:rsidR="00762BD9">
        <w:rPr>
          <w:b/>
        </w:rPr>
        <w:t xml:space="preserve"> 2012</w:t>
      </w:r>
    </w:p>
    <w:p w:rsidR="00D12ADE" w:rsidRDefault="00D12ADE" w:rsidP="00762BD9">
      <w:pPr>
        <w:jc w:val="center"/>
        <w:rPr>
          <w:b/>
        </w:rPr>
      </w:pPr>
      <w:r>
        <w:rPr>
          <w:b/>
        </w:rPr>
        <w:t xml:space="preserve">Implementation: </w:t>
      </w:r>
      <w:r w:rsidR="00762BD9">
        <w:rPr>
          <w:b/>
        </w:rPr>
        <w:t>Spring 2013</w:t>
      </w:r>
    </w:p>
    <w:p w:rsidR="00D12ADE" w:rsidRDefault="00D12ADE" w:rsidP="008D415A">
      <w:pPr>
        <w:jc w:val="center"/>
        <w:rPr>
          <w:b/>
        </w:rPr>
      </w:pPr>
      <w:r>
        <w:rPr>
          <w:b/>
        </w:rPr>
        <w:t>Final Report: S</w:t>
      </w:r>
      <w:r w:rsidR="008D415A">
        <w:rPr>
          <w:b/>
        </w:rPr>
        <w:t>ummer</w:t>
      </w:r>
      <w:r>
        <w:rPr>
          <w:b/>
        </w:rPr>
        <w:t xml:space="preserve"> 201</w:t>
      </w:r>
      <w:r w:rsidR="00762BD9">
        <w:rPr>
          <w:b/>
        </w:rPr>
        <w:t>3</w:t>
      </w:r>
    </w:p>
    <w:p w:rsidR="00D12ADE" w:rsidRPr="00875700" w:rsidRDefault="00D12ADE" w:rsidP="0021042E">
      <w:pPr>
        <w:jc w:val="center"/>
      </w:pPr>
    </w:p>
    <w:p w:rsidR="0053619C" w:rsidRPr="00875700" w:rsidRDefault="0053619C" w:rsidP="00786B05">
      <w:pPr>
        <w:spacing w:line="276" w:lineRule="auto"/>
      </w:pPr>
    </w:p>
    <w:p w:rsidR="0021042E" w:rsidRPr="0031475B" w:rsidRDefault="0021042E" w:rsidP="0031475B">
      <w:pPr>
        <w:pStyle w:val="Heading2"/>
      </w:pPr>
      <w:r w:rsidRPr="0031475B">
        <w:t>Introduction</w:t>
      </w:r>
    </w:p>
    <w:p w:rsidR="009A0437" w:rsidRDefault="003464E7" w:rsidP="00AD71C5">
      <w:pPr>
        <w:spacing w:line="276" w:lineRule="auto"/>
      </w:pPr>
      <w:r>
        <w:t xml:space="preserve">The main objective for the </w:t>
      </w:r>
      <w:r w:rsidR="009A0437">
        <w:t>ENGR497 hybrid</w:t>
      </w:r>
      <w:r>
        <w:t xml:space="preserve"> course was</w:t>
      </w:r>
      <w:r w:rsidRPr="003464E7">
        <w:t xml:space="preserve"> to</w:t>
      </w:r>
      <w:r w:rsidR="009A0437">
        <w:t xml:space="preserve"> enhance student learning by incorporating experiential learning, such as problem</w:t>
      </w:r>
      <w:r w:rsidR="00CB5851">
        <w:t xml:space="preserve"> based learning</w:t>
      </w:r>
      <w:r w:rsidR="009A0437">
        <w:t xml:space="preserve"> and case study based learning</w:t>
      </w:r>
      <w:r w:rsidR="00CB5851">
        <w:t>,</w:t>
      </w:r>
      <w:r w:rsidR="009A0437">
        <w:t xml:space="preserve"> as a primary way of delivering the course content. Learning by doing is essential for this capstone course and by having online activities that engage students it was intended to help students pursue their innovative ideas. To ensure accountability of students,</w:t>
      </w:r>
      <w:r w:rsidR="00F75478">
        <w:t xml:space="preserve"> a number of</w:t>
      </w:r>
      <w:r w:rsidR="009A0437">
        <w:t xml:space="preserve"> assessment tools were </w:t>
      </w:r>
      <w:r w:rsidR="00786B05">
        <w:t xml:space="preserve">designed and </w:t>
      </w:r>
      <w:r w:rsidR="009A0437">
        <w:t xml:space="preserve">included </w:t>
      </w:r>
      <w:r w:rsidR="00786B05">
        <w:t>in the course work.</w:t>
      </w:r>
    </w:p>
    <w:p w:rsidR="009A0437" w:rsidRDefault="009A0437" w:rsidP="00786B05">
      <w:pPr>
        <w:spacing w:line="276" w:lineRule="auto"/>
      </w:pPr>
    </w:p>
    <w:p w:rsidR="003464E7" w:rsidRDefault="00786B05" w:rsidP="00786B05">
      <w:pPr>
        <w:spacing w:line="276" w:lineRule="auto"/>
      </w:pPr>
      <w:r>
        <w:t>In terms of class schedule, thirty minutes of each Tuesday / Thursday class were reduced to allow the co-</w:t>
      </w:r>
      <w:proofErr w:type="spellStart"/>
      <w:r>
        <w:t>hort</w:t>
      </w:r>
      <w:proofErr w:type="spellEnd"/>
      <w:r>
        <w:t xml:space="preserve"> to focus on </w:t>
      </w:r>
      <w:r w:rsidR="00F75478">
        <w:t xml:space="preserve">term </w:t>
      </w:r>
      <w:r>
        <w:t>projects. The online component focused on an extension of learning for each topic</w:t>
      </w:r>
      <w:proofErr w:type="gramStart"/>
      <w:r>
        <w:t xml:space="preserve">, </w:t>
      </w:r>
      <w:r w:rsidR="00F75478">
        <w:t xml:space="preserve"> term</w:t>
      </w:r>
      <w:proofErr w:type="gramEnd"/>
      <w:r>
        <w:t xml:space="preserve"> project updates to other</w:t>
      </w:r>
      <w:r w:rsidR="00F75478">
        <w:t>s</w:t>
      </w:r>
      <w:r>
        <w:t xml:space="preserve"> in the class, in-the-news topics, etc.</w:t>
      </w:r>
    </w:p>
    <w:p w:rsidR="0053619C" w:rsidRPr="00875700" w:rsidRDefault="0053619C" w:rsidP="00786B05">
      <w:pPr>
        <w:spacing w:line="276" w:lineRule="auto"/>
      </w:pPr>
    </w:p>
    <w:p w:rsidR="0021042E" w:rsidRPr="00875700" w:rsidRDefault="0021042E" w:rsidP="0031475B">
      <w:pPr>
        <w:pStyle w:val="Heading2"/>
      </w:pPr>
      <w:r w:rsidRPr="00875700">
        <w:t>Project Design</w:t>
      </w:r>
      <w:r w:rsidR="00786B05">
        <w:t xml:space="preserve"> Timeline</w:t>
      </w:r>
    </w:p>
    <w:p w:rsidR="002D7879" w:rsidRDefault="00786B05" w:rsidP="00CB79C8">
      <w:pPr>
        <w:spacing w:line="276" w:lineRule="auto"/>
      </w:pPr>
      <w:r>
        <w:t>Summer 2012 –</w:t>
      </w:r>
      <w:r w:rsidR="002D7879">
        <w:t xml:space="preserve"> </w:t>
      </w:r>
      <w:r w:rsidR="00CB79C8" w:rsidRPr="00CB79C8">
        <w:t xml:space="preserve">The instructional design method used for ENGR497 was a mix between </w:t>
      </w:r>
      <w:r w:rsidR="00CB79C8" w:rsidRPr="00CB79C8">
        <w:rPr>
          <w:i/>
          <w:iCs/>
        </w:rPr>
        <w:t>The Systematic Design of Instruction</w:t>
      </w:r>
      <w:r w:rsidR="00CB79C8" w:rsidRPr="00CB79C8">
        <w:t xml:space="preserve"> </w:t>
      </w:r>
      <w:sdt>
        <w:sdtPr>
          <w:id w:val="891167628"/>
          <w:citation/>
        </w:sdtPr>
        <w:sdtEndPr/>
        <w:sdtContent>
          <w:r w:rsidR="00CB79C8">
            <w:fldChar w:fldCharType="begin"/>
          </w:r>
          <w:r w:rsidR="00CB79C8">
            <w:instrText xml:space="preserve"> CITATION Dic96 \l 1033 </w:instrText>
          </w:r>
          <w:r w:rsidR="00CB79C8">
            <w:fldChar w:fldCharType="separate"/>
          </w:r>
          <w:r w:rsidR="00CB79C8">
            <w:rPr>
              <w:noProof/>
            </w:rPr>
            <w:t>(Dick, 1996)</w:t>
          </w:r>
          <w:r w:rsidR="00CB79C8">
            <w:fldChar w:fldCharType="end"/>
          </w:r>
        </w:sdtContent>
      </w:sdt>
      <w:r w:rsidR="00CB79C8">
        <w:t xml:space="preserve"> </w:t>
      </w:r>
      <w:r w:rsidR="00CB79C8" w:rsidRPr="00CB79C8">
        <w:t xml:space="preserve">and </w:t>
      </w:r>
      <w:r w:rsidR="00CB79C8" w:rsidRPr="00CB79C8">
        <w:rPr>
          <w:i/>
          <w:iCs/>
        </w:rPr>
        <w:t>Conquering the Content: A Step-by-Step Guide to Online Course Design</w:t>
      </w:r>
      <w:sdt>
        <w:sdtPr>
          <w:rPr>
            <w:i/>
            <w:iCs/>
          </w:rPr>
          <w:id w:val="1871493527"/>
          <w:citation/>
        </w:sdtPr>
        <w:sdtEndPr/>
        <w:sdtContent>
          <w:r w:rsidR="00CB79C8">
            <w:rPr>
              <w:i/>
              <w:iCs/>
            </w:rPr>
            <w:fldChar w:fldCharType="begin"/>
          </w:r>
          <w:r w:rsidR="00CB79C8">
            <w:rPr>
              <w:i/>
              <w:iCs/>
            </w:rPr>
            <w:instrText xml:space="preserve"> CITATION Smi08 \l 1033 </w:instrText>
          </w:r>
          <w:r w:rsidR="00CB79C8">
            <w:rPr>
              <w:i/>
              <w:iCs/>
            </w:rPr>
            <w:fldChar w:fldCharType="separate"/>
          </w:r>
          <w:r w:rsidR="00CB79C8">
            <w:rPr>
              <w:i/>
              <w:iCs/>
              <w:noProof/>
            </w:rPr>
            <w:t xml:space="preserve"> </w:t>
          </w:r>
          <w:r w:rsidR="00CB79C8">
            <w:rPr>
              <w:noProof/>
            </w:rPr>
            <w:t>(Smith, 2008)</w:t>
          </w:r>
          <w:r w:rsidR="00CB79C8">
            <w:rPr>
              <w:i/>
              <w:iCs/>
            </w:rPr>
            <w:fldChar w:fldCharType="end"/>
          </w:r>
        </w:sdtContent>
      </w:sdt>
      <w:r w:rsidR="00CB79C8" w:rsidRPr="00CB79C8">
        <w:t xml:space="preserve">. </w:t>
      </w:r>
      <w:r w:rsidR="00CB79C8">
        <w:t>To start off the process, t</w:t>
      </w:r>
      <w:r w:rsidR="002D7879">
        <w:t xml:space="preserve">he syllabus was </w:t>
      </w:r>
      <w:r w:rsidR="00804394">
        <w:t xml:space="preserve">improved </w:t>
      </w:r>
      <w:r w:rsidR="002D7879">
        <w:t>including the addition of more detailed course objectives that aligned with the overarching course goals. A high-level course outline was created to break-down the course into weekly topics covering specific material. This outline helped the design of the course so that students would stay on track for t</w:t>
      </w:r>
      <w:r w:rsidR="00CB5851">
        <w:t>he two large projects that make up a large</w:t>
      </w:r>
      <w:r w:rsidR="002D7879">
        <w:t xml:space="preserve"> percentage of the course.</w:t>
      </w:r>
      <w:r w:rsidR="003F18CA">
        <w:t xml:space="preserve"> The two projects</w:t>
      </w:r>
      <w:r w:rsidR="00CB5851">
        <w:t xml:space="preserve"> that include</w:t>
      </w:r>
      <w:r w:rsidR="003F18CA">
        <w:t xml:space="preserve"> the three </w:t>
      </w:r>
      <w:proofErr w:type="gramStart"/>
      <w:r w:rsidR="003F18CA">
        <w:t>week</w:t>
      </w:r>
      <w:proofErr w:type="gramEnd"/>
      <w:r w:rsidR="003F18CA">
        <w:t xml:space="preserve"> Product Innovation Challenge (PIC) and twelve week Business </w:t>
      </w:r>
      <w:r w:rsidR="00CB5851">
        <w:t xml:space="preserve">Plan and Showcase </w:t>
      </w:r>
      <w:r w:rsidR="003F18CA">
        <w:t xml:space="preserve">were reviewed. Both projects were modified to provide more detailed documentation to help students. In addition, the Center for Learning </w:t>
      </w:r>
      <w:r w:rsidR="00E44E82">
        <w:t>&amp; Teaching intern created</w:t>
      </w:r>
      <w:r w:rsidR="003F18CA">
        <w:t xml:space="preserve"> electronic versions of the Successful Business Plan Secrets &amp; Strategies Templates which were only in print version and were available to produce electronically within copyright permission. In addition, the incorporation of several business plan drafts were added to ensure students were on track throughout the course.</w:t>
      </w:r>
    </w:p>
    <w:p w:rsidR="002D7879" w:rsidRDefault="002D7879" w:rsidP="002D7879">
      <w:pPr>
        <w:spacing w:line="276" w:lineRule="auto"/>
      </w:pPr>
    </w:p>
    <w:p w:rsidR="002D7879" w:rsidRDefault="003F18CA" w:rsidP="00E44E82">
      <w:pPr>
        <w:spacing w:line="276" w:lineRule="auto"/>
      </w:pPr>
      <w:r>
        <w:t xml:space="preserve">Fall 2012 – The next step was focusing on the design of weekly schedules that consisted of the weekly learning objectives, what to do during the face-to-face sessions, and what to do out of class for the online portion of the class. The investigator and </w:t>
      </w:r>
      <w:r w:rsidR="001F161D">
        <w:t>Instructional D</w:t>
      </w:r>
      <w:r>
        <w:t>esigner</w:t>
      </w:r>
      <w:r w:rsidR="00E44E82">
        <w:t xml:space="preserve"> then</w:t>
      </w:r>
      <w:r>
        <w:t xml:space="preserve"> focused their efforts on creating case study and online video activities by first researching and </w:t>
      </w:r>
      <w:r w:rsidR="00E44E82">
        <w:t xml:space="preserve">then </w:t>
      </w:r>
      <w:r>
        <w:t xml:space="preserve">selecting three case studies and </w:t>
      </w:r>
      <w:r w:rsidR="00E44E82">
        <w:t xml:space="preserve">three </w:t>
      </w:r>
      <w:r>
        <w:t xml:space="preserve">online videos to incorporate within the course that best aligned with the course objectives. Case study activities were then developed and each consisted of a case study reading, an ANGEL quiz about the case study, questions for the instructor to lead in-class group discussion, and directions for </w:t>
      </w:r>
      <w:r>
        <w:lastRenderedPageBreak/>
        <w:t xml:space="preserve">students for a written reflective paper after the in-class discussion. Video activities were also created and consisted of </w:t>
      </w:r>
      <w:r w:rsidR="00E44E82">
        <w:t xml:space="preserve">a </w:t>
      </w:r>
      <w:r>
        <w:t>video to watch, an ANGEL quiz about the video t</w:t>
      </w:r>
      <w:r w:rsidR="00E44E82">
        <w:t>o</w:t>
      </w:r>
      <w:r w:rsidR="00CB5851">
        <w:t xml:space="preserve"> ensure students watched the videos</w:t>
      </w:r>
      <w:r>
        <w:t xml:space="preserve"> in its entirety, and a </w:t>
      </w:r>
      <w:r w:rsidR="001F161D">
        <w:t xml:space="preserve">discussion board that helped </w:t>
      </w:r>
      <w:proofErr w:type="gramStart"/>
      <w:r w:rsidR="00E44E82">
        <w:t>relate</w:t>
      </w:r>
      <w:proofErr w:type="gramEnd"/>
      <w:r w:rsidR="001F161D">
        <w:t xml:space="preserve"> the video to the course goals. </w:t>
      </w:r>
      <w:r w:rsidR="00CB5851">
        <w:t>A grading rubric was created to ensure proper student participation with the discussion board.</w:t>
      </w:r>
    </w:p>
    <w:p w:rsidR="003F18CA" w:rsidRDefault="003F18CA" w:rsidP="003F18CA">
      <w:pPr>
        <w:spacing w:line="276" w:lineRule="auto"/>
      </w:pPr>
    </w:p>
    <w:p w:rsidR="001F161D" w:rsidRDefault="008D415A" w:rsidP="008D415A">
      <w:pPr>
        <w:spacing w:line="276" w:lineRule="auto"/>
      </w:pPr>
      <w:proofErr w:type="gramStart"/>
      <w:r>
        <w:t>During the Business Plan and</w:t>
      </w:r>
      <w:r w:rsidR="006557D9">
        <w:t xml:space="preserve"> </w:t>
      </w:r>
      <w:r>
        <w:t>Showcase portion of the course (weeks 4 through 15) students work to create a group business plan and presentation.</w:t>
      </w:r>
      <w:proofErr w:type="gramEnd"/>
      <w:r>
        <w:t xml:space="preserve"> While this is </w:t>
      </w:r>
      <w:proofErr w:type="gramStart"/>
      <w:r>
        <w:t>occurring</w:t>
      </w:r>
      <w:proofErr w:type="gramEnd"/>
      <w:r>
        <w:t xml:space="preserve"> each </w:t>
      </w:r>
      <w:r w:rsidR="006557D9">
        <w:t>student posts the summary of the updates</w:t>
      </w:r>
      <w:r>
        <w:t xml:space="preserve"> is to keep one another up to date about their progression. For the hybrid course, a workflow consisting of a blog update per group was established where, in turn, every student had to reply to at least one group that they did not belong to. To ensure this was implemented correctly during the spring 2013 semester, directions, a class blog, and a blog participation rubric were created. </w:t>
      </w:r>
    </w:p>
    <w:p w:rsidR="008D415A" w:rsidRDefault="008D415A" w:rsidP="008D415A">
      <w:pPr>
        <w:spacing w:line="276" w:lineRule="auto"/>
      </w:pPr>
    </w:p>
    <w:p w:rsidR="008D415A" w:rsidRDefault="008D415A" w:rsidP="006F78BD">
      <w:pPr>
        <w:spacing w:line="276" w:lineRule="auto"/>
      </w:pPr>
      <w:r>
        <w:t xml:space="preserve">Once the weekly schedules were designed and the individual class activities were </w:t>
      </w:r>
      <w:r w:rsidR="00E44E82">
        <w:t>created</w:t>
      </w:r>
      <w:r>
        <w:t>, all of the components were put into the ANGEL Learning Management System.</w:t>
      </w:r>
      <w:r w:rsidR="008C2973">
        <w:t xml:space="preserve"> The </w:t>
      </w:r>
      <w:r w:rsidR="006F78BD">
        <w:t xml:space="preserve">components </w:t>
      </w:r>
      <w:r w:rsidR="008C2973">
        <w:t xml:space="preserve">were arranged by weekly folder and within each folder a weekly schedule was developed </w:t>
      </w:r>
      <w:r w:rsidR="00E44E82">
        <w:t>using ANGEL pages and based upon the weekly schedules that</w:t>
      </w:r>
      <w:r w:rsidR="008C2973">
        <w:t xml:space="preserve"> </w:t>
      </w:r>
      <w:r w:rsidR="000C4BED">
        <w:t xml:space="preserve">were </w:t>
      </w:r>
      <w:r w:rsidR="008C2973">
        <w:t>designed during the first portion of fall 2012.</w:t>
      </w:r>
    </w:p>
    <w:p w:rsidR="008C2973" w:rsidRDefault="008C2973" w:rsidP="008D415A">
      <w:pPr>
        <w:spacing w:line="276" w:lineRule="auto"/>
      </w:pPr>
    </w:p>
    <w:p w:rsidR="008C2973" w:rsidRDefault="008C2973" w:rsidP="008D415A">
      <w:pPr>
        <w:spacing w:line="276" w:lineRule="auto"/>
      </w:pPr>
      <w:r>
        <w:t>Spring 2013 – During the spring 2013 semester, the course was first implemented. After one-third of the course was conducted the investigator and Instructional Designer met and modified a mid-semester survey that the investigator used in previous courses. The modification focused on the addition of questions pertaining to the effectiveness of the components of the hybrid course and similar aspects. The mid-semester survey was then completed by students during week nine of the course.</w:t>
      </w:r>
    </w:p>
    <w:p w:rsidR="008C2973" w:rsidRDefault="008C2973" w:rsidP="008D415A">
      <w:pPr>
        <w:spacing w:line="276" w:lineRule="auto"/>
      </w:pPr>
    </w:p>
    <w:p w:rsidR="00510BB5" w:rsidRPr="00875700" w:rsidRDefault="00510BB5" w:rsidP="0031475B">
      <w:pPr>
        <w:pStyle w:val="Heading2"/>
      </w:pPr>
      <w:r w:rsidRPr="00875700">
        <w:t>Learning Outcomes</w:t>
      </w:r>
      <w:r w:rsidR="00D12ADE">
        <w:t xml:space="preserve"> &amp; Discussion</w:t>
      </w:r>
    </w:p>
    <w:p w:rsidR="008C2973" w:rsidRPr="008C2973" w:rsidRDefault="008C2973" w:rsidP="00786B05">
      <w:pPr>
        <w:spacing w:line="276" w:lineRule="auto"/>
      </w:pPr>
      <w:r w:rsidRPr="008C2973">
        <w:t>Students were surveyed about a variety of topics at the midpoint of the semester. Focusing attention on the hybrid-format questions, Tables 1, 2, and 3 summarize the responses obtained (n=4)</w:t>
      </w:r>
    </w:p>
    <w:p w:rsidR="001F161D" w:rsidRDefault="001F161D" w:rsidP="00786B05">
      <w:pPr>
        <w:spacing w:line="276" w:lineRule="auto"/>
        <w:rPr>
          <w:b/>
          <w:highlight w:val="green"/>
        </w:rPr>
      </w:pPr>
    </w:p>
    <w:p w:rsidR="0031475B" w:rsidRDefault="0031475B" w:rsidP="0031475B">
      <w:pPr>
        <w:pStyle w:val="Caption"/>
        <w:keepNext/>
      </w:pPr>
      <w:proofErr w:type="gramStart"/>
      <w:r>
        <w:t xml:space="preserve">Table </w:t>
      </w:r>
      <w:proofErr w:type="gramEnd"/>
      <w:r>
        <w:fldChar w:fldCharType="begin"/>
      </w:r>
      <w:r>
        <w:instrText xml:space="preserve"> SEQ Table \* ARABIC </w:instrText>
      </w:r>
      <w:r>
        <w:fldChar w:fldCharType="separate"/>
      </w:r>
      <w:r>
        <w:rPr>
          <w:noProof/>
        </w:rPr>
        <w:t>1</w:t>
      </w:r>
      <w:r>
        <w:fldChar w:fldCharType="end"/>
      </w:r>
      <w:proofErr w:type="gramStart"/>
      <w:r w:rsidRPr="00536D58">
        <w:t>.</w:t>
      </w:r>
      <w:proofErr w:type="gramEnd"/>
      <w:r w:rsidRPr="00536D58">
        <w:t xml:space="preserve"> Student satisfaction with hybrid component based assignments / course content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student satisfaction survey responses for different assignment types."/>
      </w:tblPr>
      <w:tblGrid>
        <w:gridCol w:w="1278"/>
        <w:gridCol w:w="1279"/>
        <w:gridCol w:w="1279"/>
        <w:gridCol w:w="1279"/>
        <w:gridCol w:w="1279"/>
        <w:gridCol w:w="1279"/>
        <w:gridCol w:w="1279"/>
        <w:gridCol w:w="1279"/>
      </w:tblGrid>
      <w:tr w:rsidR="009576CD" w:rsidRPr="001F161D" w:rsidTr="009576CD">
        <w:tc>
          <w:tcPr>
            <w:tcW w:w="1278" w:type="dxa"/>
            <w:tcMar>
              <w:left w:w="43" w:type="dxa"/>
              <w:right w:w="43" w:type="dxa"/>
            </w:tcMar>
            <w:vAlign w:val="center"/>
          </w:tcPr>
          <w:p w:rsidR="009576CD" w:rsidRPr="00CB5851" w:rsidRDefault="009576CD" w:rsidP="009576CD">
            <w:pPr>
              <w:spacing w:line="276" w:lineRule="auto"/>
              <w:jc w:val="center"/>
            </w:pPr>
            <w:r w:rsidRPr="00CB5851">
              <w:t>Response</w:t>
            </w:r>
          </w:p>
        </w:tc>
        <w:tc>
          <w:tcPr>
            <w:tcW w:w="1279" w:type="dxa"/>
            <w:tcMar>
              <w:left w:w="43" w:type="dxa"/>
              <w:right w:w="43" w:type="dxa"/>
            </w:tcMar>
            <w:vAlign w:val="center"/>
          </w:tcPr>
          <w:p w:rsidR="009576CD" w:rsidRPr="001F161D" w:rsidRDefault="009576CD" w:rsidP="009576CD">
            <w:pPr>
              <w:spacing w:line="240" w:lineRule="exact"/>
              <w:jc w:val="center"/>
              <w:rPr>
                <w:highlight w:val="green"/>
              </w:rPr>
            </w:pPr>
            <w:r w:rsidRPr="00CB5851">
              <w:t>Weekly Class Guides in ANGEL are valuable.</w:t>
            </w:r>
          </w:p>
        </w:tc>
        <w:tc>
          <w:tcPr>
            <w:tcW w:w="1279" w:type="dxa"/>
            <w:tcMar>
              <w:left w:w="43" w:type="dxa"/>
              <w:right w:w="43" w:type="dxa"/>
            </w:tcMar>
            <w:vAlign w:val="center"/>
          </w:tcPr>
          <w:p w:rsidR="009576CD" w:rsidRPr="001F161D" w:rsidRDefault="009576CD" w:rsidP="009576CD">
            <w:pPr>
              <w:spacing w:line="240" w:lineRule="exact"/>
              <w:jc w:val="center"/>
              <w:rPr>
                <w:highlight w:val="green"/>
              </w:rPr>
            </w:pPr>
            <w:r w:rsidRPr="00CB5851">
              <w:t>Video within ANGEL are valuable.</w:t>
            </w:r>
          </w:p>
        </w:tc>
        <w:tc>
          <w:tcPr>
            <w:tcW w:w="1279" w:type="dxa"/>
            <w:tcMar>
              <w:left w:w="43" w:type="dxa"/>
              <w:right w:w="43" w:type="dxa"/>
            </w:tcMar>
            <w:vAlign w:val="center"/>
          </w:tcPr>
          <w:p w:rsidR="009576CD" w:rsidRPr="00CB5851" w:rsidRDefault="009576CD" w:rsidP="009576CD">
            <w:pPr>
              <w:spacing w:line="240" w:lineRule="exact"/>
              <w:jc w:val="center"/>
            </w:pPr>
            <w:r w:rsidRPr="00CB5851">
              <w:t>Video Discussion Boards are valuable.</w:t>
            </w:r>
          </w:p>
        </w:tc>
        <w:tc>
          <w:tcPr>
            <w:tcW w:w="1279" w:type="dxa"/>
            <w:tcMar>
              <w:left w:w="43" w:type="dxa"/>
              <w:right w:w="43" w:type="dxa"/>
            </w:tcMar>
            <w:vAlign w:val="center"/>
          </w:tcPr>
          <w:p w:rsidR="009576CD" w:rsidRPr="00CB5851" w:rsidRDefault="009576CD" w:rsidP="009576CD">
            <w:pPr>
              <w:spacing w:line="240" w:lineRule="exact"/>
              <w:jc w:val="center"/>
            </w:pPr>
            <w:r w:rsidRPr="00CB5851">
              <w:t>Cases are valuable.</w:t>
            </w:r>
          </w:p>
        </w:tc>
        <w:tc>
          <w:tcPr>
            <w:tcW w:w="1279" w:type="dxa"/>
            <w:vAlign w:val="center"/>
          </w:tcPr>
          <w:p w:rsidR="009576CD" w:rsidRPr="00CB5851" w:rsidRDefault="009576CD" w:rsidP="009576CD">
            <w:pPr>
              <w:spacing w:line="240" w:lineRule="exact"/>
              <w:jc w:val="center"/>
            </w:pPr>
            <w:r>
              <w:t>ANGEL Case Quizzes are valuable.</w:t>
            </w:r>
          </w:p>
        </w:tc>
        <w:tc>
          <w:tcPr>
            <w:tcW w:w="1279" w:type="dxa"/>
            <w:vAlign w:val="center"/>
          </w:tcPr>
          <w:p w:rsidR="009576CD" w:rsidRDefault="009576CD" w:rsidP="009576CD">
            <w:pPr>
              <w:spacing w:line="240" w:lineRule="exact"/>
              <w:jc w:val="center"/>
            </w:pPr>
            <w:r>
              <w:t>Business Plan Guidelines are valuable.</w:t>
            </w:r>
          </w:p>
        </w:tc>
        <w:tc>
          <w:tcPr>
            <w:tcW w:w="1279" w:type="dxa"/>
            <w:vAlign w:val="center"/>
          </w:tcPr>
          <w:p w:rsidR="009576CD" w:rsidRDefault="009576CD" w:rsidP="009576CD">
            <w:pPr>
              <w:spacing w:line="240" w:lineRule="exact"/>
              <w:jc w:val="center"/>
            </w:pPr>
            <w:r>
              <w:t>Optional Electronic Business Plan Templates are valuable.</w:t>
            </w:r>
          </w:p>
        </w:tc>
      </w:tr>
      <w:tr w:rsidR="009576CD" w:rsidRPr="001F161D" w:rsidTr="009576CD">
        <w:tc>
          <w:tcPr>
            <w:tcW w:w="1278" w:type="dxa"/>
            <w:tcMar>
              <w:left w:w="43" w:type="dxa"/>
              <w:right w:w="43" w:type="dxa"/>
            </w:tcMar>
            <w:vAlign w:val="center"/>
          </w:tcPr>
          <w:p w:rsidR="009576CD" w:rsidRPr="00CB5851" w:rsidRDefault="009576CD" w:rsidP="009576CD">
            <w:pPr>
              <w:spacing w:line="276" w:lineRule="auto"/>
              <w:jc w:val="center"/>
            </w:pPr>
            <w:r w:rsidRPr="00CB5851">
              <w:t>Strongly Agree</w:t>
            </w:r>
          </w:p>
        </w:tc>
        <w:tc>
          <w:tcPr>
            <w:tcW w:w="1279" w:type="dxa"/>
            <w:tcMar>
              <w:left w:w="43" w:type="dxa"/>
              <w:right w:w="43" w:type="dxa"/>
            </w:tcMar>
            <w:vAlign w:val="center"/>
          </w:tcPr>
          <w:p w:rsidR="009576CD" w:rsidRPr="00CB5851" w:rsidRDefault="009576CD" w:rsidP="009576CD">
            <w:pPr>
              <w:spacing w:line="276" w:lineRule="auto"/>
              <w:jc w:val="center"/>
            </w:pPr>
            <w:r w:rsidRPr="00CB5851">
              <w:t>75% (3)</w:t>
            </w:r>
          </w:p>
        </w:tc>
        <w:tc>
          <w:tcPr>
            <w:tcW w:w="1279" w:type="dxa"/>
            <w:tcMar>
              <w:left w:w="43" w:type="dxa"/>
              <w:right w:w="43" w:type="dxa"/>
            </w:tcMar>
            <w:vAlign w:val="center"/>
          </w:tcPr>
          <w:p w:rsidR="009576CD" w:rsidRPr="001F161D" w:rsidRDefault="009576CD" w:rsidP="009576CD">
            <w:pPr>
              <w:spacing w:line="276" w:lineRule="auto"/>
              <w:jc w:val="center"/>
              <w:rPr>
                <w:highlight w:val="green"/>
              </w:rPr>
            </w:pPr>
            <w:r w:rsidRPr="00CB5851">
              <w:t>0%</w:t>
            </w:r>
          </w:p>
        </w:tc>
        <w:tc>
          <w:tcPr>
            <w:tcW w:w="1279" w:type="dxa"/>
            <w:tcMar>
              <w:left w:w="43" w:type="dxa"/>
              <w:right w:w="43" w:type="dxa"/>
            </w:tcMar>
            <w:vAlign w:val="center"/>
          </w:tcPr>
          <w:p w:rsidR="009576CD" w:rsidRPr="00CB5851" w:rsidRDefault="009576CD" w:rsidP="009576CD">
            <w:pPr>
              <w:spacing w:line="276" w:lineRule="auto"/>
              <w:jc w:val="center"/>
            </w:pPr>
            <w:r w:rsidRPr="00CB5851">
              <w:t>0%</w:t>
            </w:r>
          </w:p>
        </w:tc>
        <w:tc>
          <w:tcPr>
            <w:tcW w:w="1279" w:type="dxa"/>
            <w:tcMar>
              <w:left w:w="43" w:type="dxa"/>
              <w:right w:w="43" w:type="dxa"/>
            </w:tcMar>
            <w:vAlign w:val="center"/>
          </w:tcPr>
          <w:p w:rsidR="009576CD" w:rsidRPr="00CB5851" w:rsidRDefault="009576CD" w:rsidP="009576CD">
            <w:pPr>
              <w:spacing w:line="276" w:lineRule="auto"/>
              <w:jc w:val="center"/>
            </w:pPr>
            <w:r w:rsidRPr="00CB5851">
              <w:t>75% (3)</w:t>
            </w:r>
          </w:p>
        </w:tc>
        <w:tc>
          <w:tcPr>
            <w:tcW w:w="1279" w:type="dxa"/>
            <w:vAlign w:val="center"/>
          </w:tcPr>
          <w:p w:rsidR="009576CD" w:rsidRPr="00CB5851" w:rsidRDefault="009576CD" w:rsidP="009576CD">
            <w:pPr>
              <w:spacing w:line="276" w:lineRule="auto"/>
              <w:jc w:val="center"/>
            </w:pPr>
            <w:r w:rsidRPr="00CB5851">
              <w:t>0%</w:t>
            </w:r>
          </w:p>
        </w:tc>
        <w:tc>
          <w:tcPr>
            <w:tcW w:w="1279" w:type="dxa"/>
            <w:vAlign w:val="center"/>
          </w:tcPr>
          <w:p w:rsidR="009576CD" w:rsidRPr="00CB5851" w:rsidRDefault="009576CD" w:rsidP="009576CD">
            <w:pPr>
              <w:spacing w:line="276" w:lineRule="auto"/>
              <w:jc w:val="center"/>
            </w:pPr>
            <w:r w:rsidRPr="00CB5851">
              <w:t>50% (2)</w:t>
            </w:r>
          </w:p>
        </w:tc>
        <w:tc>
          <w:tcPr>
            <w:tcW w:w="1279" w:type="dxa"/>
            <w:vAlign w:val="center"/>
          </w:tcPr>
          <w:p w:rsidR="009576CD" w:rsidRPr="00CB5851" w:rsidRDefault="009576CD" w:rsidP="009576CD">
            <w:pPr>
              <w:spacing w:line="276" w:lineRule="auto"/>
              <w:jc w:val="center"/>
            </w:pPr>
            <w:r w:rsidRPr="00CB5851">
              <w:t>25% (1)</w:t>
            </w:r>
          </w:p>
        </w:tc>
      </w:tr>
      <w:tr w:rsidR="009576CD" w:rsidRPr="001F161D" w:rsidTr="009576CD">
        <w:tc>
          <w:tcPr>
            <w:tcW w:w="1278" w:type="dxa"/>
            <w:tcMar>
              <w:left w:w="43" w:type="dxa"/>
              <w:right w:w="43" w:type="dxa"/>
            </w:tcMar>
            <w:vAlign w:val="center"/>
          </w:tcPr>
          <w:p w:rsidR="009576CD" w:rsidRPr="00CB5851" w:rsidRDefault="009576CD" w:rsidP="009576CD">
            <w:pPr>
              <w:spacing w:line="276" w:lineRule="auto"/>
              <w:jc w:val="center"/>
            </w:pPr>
            <w:r w:rsidRPr="00CB5851">
              <w:t>Agree</w:t>
            </w:r>
          </w:p>
        </w:tc>
        <w:tc>
          <w:tcPr>
            <w:tcW w:w="1279" w:type="dxa"/>
            <w:tcMar>
              <w:left w:w="43" w:type="dxa"/>
              <w:right w:w="43" w:type="dxa"/>
            </w:tcMar>
            <w:vAlign w:val="center"/>
          </w:tcPr>
          <w:p w:rsidR="009576CD" w:rsidRPr="00CB5851" w:rsidRDefault="009576CD" w:rsidP="009576CD">
            <w:pPr>
              <w:spacing w:line="276" w:lineRule="auto"/>
              <w:jc w:val="center"/>
            </w:pPr>
            <w:r w:rsidRPr="00CB5851">
              <w:t>25% (1)</w:t>
            </w:r>
          </w:p>
        </w:tc>
        <w:tc>
          <w:tcPr>
            <w:tcW w:w="1279" w:type="dxa"/>
            <w:tcMar>
              <w:left w:w="43" w:type="dxa"/>
              <w:right w:w="43" w:type="dxa"/>
            </w:tcMar>
            <w:vAlign w:val="center"/>
          </w:tcPr>
          <w:p w:rsidR="009576CD" w:rsidRPr="001F161D" w:rsidRDefault="009576CD" w:rsidP="009576CD">
            <w:pPr>
              <w:spacing w:line="276" w:lineRule="auto"/>
              <w:jc w:val="center"/>
              <w:rPr>
                <w:highlight w:val="green"/>
              </w:rPr>
            </w:pPr>
            <w:r w:rsidRPr="00CB5851">
              <w:t>75% (3)</w:t>
            </w:r>
          </w:p>
        </w:tc>
        <w:tc>
          <w:tcPr>
            <w:tcW w:w="1279" w:type="dxa"/>
            <w:tcMar>
              <w:left w:w="43" w:type="dxa"/>
              <w:right w:w="43" w:type="dxa"/>
            </w:tcMar>
            <w:vAlign w:val="center"/>
          </w:tcPr>
          <w:p w:rsidR="009576CD" w:rsidRPr="00CB5851" w:rsidRDefault="009576CD" w:rsidP="009576CD">
            <w:pPr>
              <w:spacing w:line="276" w:lineRule="auto"/>
              <w:jc w:val="center"/>
            </w:pPr>
            <w:r w:rsidRPr="00CB5851">
              <w:t>50% (2)</w:t>
            </w:r>
          </w:p>
        </w:tc>
        <w:tc>
          <w:tcPr>
            <w:tcW w:w="1279" w:type="dxa"/>
            <w:tcMar>
              <w:left w:w="43" w:type="dxa"/>
              <w:right w:w="43" w:type="dxa"/>
            </w:tcMar>
            <w:vAlign w:val="center"/>
          </w:tcPr>
          <w:p w:rsidR="009576CD" w:rsidRPr="00CB5851" w:rsidRDefault="009576CD" w:rsidP="009576CD">
            <w:pPr>
              <w:spacing w:line="276" w:lineRule="auto"/>
              <w:jc w:val="center"/>
            </w:pPr>
            <w:r w:rsidRPr="00CB5851">
              <w:t>25% (1)</w:t>
            </w:r>
          </w:p>
        </w:tc>
        <w:tc>
          <w:tcPr>
            <w:tcW w:w="1279" w:type="dxa"/>
            <w:vAlign w:val="center"/>
          </w:tcPr>
          <w:p w:rsidR="009576CD" w:rsidRPr="00CB5851" w:rsidRDefault="009576CD" w:rsidP="009576CD">
            <w:pPr>
              <w:spacing w:line="276" w:lineRule="auto"/>
              <w:jc w:val="center"/>
            </w:pPr>
            <w:r w:rsidRPr="00CB5851">
              <w:t>25% (1)</w:t>
            </w:r>
          </w:p>
        </w:tc>
        <w:tc>
          <w:tcPr>
            <w:tcW w:w="1279" w:type="dxa"/>
            <w:vAlign w:val="center"/>
          </w:tcPr>
          <w:p w:rsidR="009576CD" w:rsidRPr="00CB5851" w:rsidRDefault="009576CD" w:rsidP="009576CD">
            <w:pPr>
              <w:spacing w:line="276" w:lineRule="auto"/>
              <w:jc w:val="center"/>
            </w:pPr>
            <w:r w:rsidRPr="00CB5851">
              <w:t>50% (2)</w:t>
            </w:r>
          </w:p>
        </w:tc>
        <w:tc>
          <w:tcPr>
            <w:tcW w:w="1279" w:type="dxa"/>
            <w:vAlign w:val="center"/>
          </w:tcPr>
          <w:p w:rsidR="009576CD" w:rsidRPr="00CB5851" w:rsidRDefault="009576CD" w:rsidP="009576CD">
            <w:pPr>
              <w:spacing w:line="276" w:lineRule="auto"/>
              <w:jc w:val="center"/>
            </w:pPr>
            <w:r w:rsidRPr="00CB5851">
              <w:t>50% (2)</w:t>
            </w:r>
          </w:p>
        </w:tc>
      </w:tr>
      <w:tr w:rsidR="009576CD" w:rsidRPr="001F161D" w:rsidTr="009576CD">
        <w:tc>
          <w:tcPr>
            <w:tcW w:w="1278" w:type="dxa"/>
            <w:tcMar>
              <w:left w:w="43" w:type="dxa"/>
              <w:right w:w="43" w:type="dxa"/>
            </w:tcMar>
            <w:vAlign w:val="center"/>
          </w:tcPr>
          <w:p w:rsidR="009576CD" w:rsidRPr="00CB5851" w:rsidRDefault="009576CD" w:rsidP="009576CD">
            <w:pPr>
              <w:spacing w:line="276" w:lineRule="auto"/>
              <w:jc w:val="center"/>
            </w:pPr>
            <w:r w:rsidRPr="00CB5851">
              <w:t>Neutral</w:t>
            </w:r>
          </w:p>
        </w:tc>
        <w:tc>
          <w:tcPr>
            <w:tcW w:w="1279" w:type="dxa"/>
            <w:tcMar>
              <w:left w:w="43" w:type="dxa"/>
              <w:right w:w="43" w:type="dxa"/>
            </w:tcMar>
            <w:vAlign w:val="center"/>
          </w:tcPr>
          <w:p w:rsidR="009576CD" w:rsidRPr="00CB5851" w:rsidRDefault="009576CD" w:rsidP="009576CD">
            <w:pPr>
              <w:spacing w:line="276" w:lineRule="auto"/>
              <w:jc w:val="center"/>
            </w:pPr>
            <w:r w:rsidRPr="00CB5851">
              <w:t>0%</w:t>
            </w:r>
          </w:p>
        </w:tc>
        <w:tc>
          <w:tcPr>
            <w:tcW w:w="1279" w:type="dxa"/>
            <w:tcMar>
              <w:left w:w="43" w:type="dxa"/>
              <w:right w:w="43" w:type="dxa"/>
            </w:tcMar>
            <w:vAlign w:val="center"/>
          </w:tcPr>
          <w:p w:rsidR="009576CD" w:rsidRPr="001F161D" w:rsidRDefault="009576CD" w:rsidP="009576CD">
            <w:pPr>
              <w:spacing w:line="276" w:lineRule="auto"/>
              <w:jc w:val="center"/>
              <w:rPr>
                <w:highlight w:val="green"/>
              </w:rPr>
            </w:pPr>
            <w:r w:rsidRPr="00CB5851">
              <w:t>25% (1)</w:t>
            </w:r>
          </w:p>
        </w:tc>
        <w:tc>
          <w:tcPr>
            <w:tcW w:w="1279" w:type="dxa"/>
            <w:tcMar>
              <w:left w:w="43" w:type="dxa"/>
              <w:right w:w="43" w:type="dxa"/>
            </w:tcMar>
            <w:vAlign w:val="center"/>
          </w:tcPr>
          <w:p w:rsidR="009576CD" w:rsidRPr="00CB5851" w:rsidRDefault="009576CD" w:rsidP="009576CD">
            <w:pPr>
              <w:spacing w:line="276" w:lineRule="auto"/>
              <w:jc w:val="center"/>
            </w:pPr>
            <w:r w:rsidRPr="00CB5851">
              <w:t>25% (1)</w:t>
            </w:r>
          </w:p>
        </w:tc>
        <w:tc>
          <w:tcPr>
            <w:tcW w:w="1279" w:type="dxa"/>
            <w:tcMar>
              <w:left w:w="43" w:type="dxa"/>
              <w:right w:w="43" w:type="dxa"/>
            </w:tcMar>
            <w:vAlign w:val="center"/>
          </w:tcPr>
          <w:p w:rsidR="009576CD" w:rsidRPr="001F161D" w:rsidRDefault="009576CD" w:rsidP="009576CD">
            <w:pPr>
              <w:spacing w:line="276" w:lineRule="auto"/>
              <w:jc w:val="center"/>
              <w:rPr>
                <w:highlight w:val="green"/>
              </w:rPr>
            </w:pPr>
            <w:r w:rsidRPr="00CB5851">
              <w:t>0%</w:t>
            </w:r>
          </w:p>
        </w:tc>
        <w:tc>
          <w:tcPr>
            <w:tcW w:w="1279" w:type="dxa"/>
            <w:vAlign w:val="center"/>
          </w:tcPr>
          <w:p w:rsidR="009576CD" w:rsidRPr="00CB5851" w:rsidRDefault="009576CD" w:rsidP="009576CD">
            <w:pPr>
              <w:spacing w:line="276" w:lineRule="auto"/>
              <w:jc w:val="center"/>
            </w:pPr>
            <w:r w:rsidRPr="00CB5851">
              <w:t>75% (3)</w:t>
            </w:r>
          </w:p>
        </w:tc>
        <w:tc>
          <w:tcPr>
            <w:tcW w:w="1279" w:type="dxa"/>
            <w:vAlign w:val="center"/>
          </w:tcPr>
          <w:p w:rsidR="009576CD" w:rsidRPr="00CB5851" w:rsidRDefault="009576CD" w:rsidP="009576CD">
            <w:pPr>
              <w:spacing w:line="276" w:lineRule="auto"/>
              <w:jc w:val="center"/>
            </w:pPr>
            <w:r w:rsidRPr="00CB5851">
              <w:t>0%</w:t>
            </w:r>
          </w:p>
        </w:tc>
        <w:tc>
          <w:tcPr>
            <w:tcW w:w="1279" w:type="dxa"/>
            <w:vAlign w:val="center"/>
          </w:tcPr>
          <w:p w:rsidR="009576CD" w:rsidRPr="00CB5851" w:rsidRDefault="009576CD" w:rsidP="009576CD">
            <w:pPr>
              <w:spacing w:line="276" w:lineRule="auto"/>
              <w:jc w:val="center"/>
            </w:pPr>
            <w:r w:rsidRPr="00CB5851">
              <w:t>25% (1)</w:t>
            </w:r>
          </w:p>
        </w:tc>
      </w:tr>
      <w:tr w:rsidR="009576CD" w:rsidRPr="001F161D" w:rsidTr="009576CD">
        <w:tc>
          <w:tcPr>
            <w:tcW w:w="1278" w:type="dxa"/>
            <w:tcMar>
              <w:left w:w="43" w:type="dxa"/>
              <w:right w:w="43" w:type="dxa"/>
            </w:tcMar>
            <w:vAlign w:val="center"/>
          </w:tcPr>
          <w:p w:rsidR="009576CD" w:rsidRPr="00CB5851" w:rsidRDefault="009576CD" w:rsidP="009576CD">
            <w:pPr>
              <w:spacing w:line="276" w:lineRule="auto"/>
              <w:jc w:val="center"/>
            </w:pPr>
            <w:r w:rsidRPr="00CB5851">
              <w:t>Somewhat Disagree</w:t>
            </w:r>
          </w:p>
        </w:tc>
        <w:tc>
          <w:tcPr>
            <w:tcW w:w="1279" w:type="dxa"/>
            <w:tcMar>
              <w:left w:w="43" w:type="dxa"/>
              <w:right w:w="43" w:type="dxa"/>
            </w:tcMar>
            <w:vAlign w:val="center"/>
          </w:tcPr>
          <w:p w:rsidR="009576CD" w:rsidRPr="00CB5851" w:rsidRDefault="009576CD" w:rsidP="009576CD">
            <w:pPr>
              <w:spacing w:line="276" w:lineRule="auto"/>
              <w:jc w:val="center"/>
            </w:pPr>
            <w:r w:rsidRPr="00CB5851">
              <w:t>0%</w:t>
            </w:r>
          </w:p>
        </w:tc>
        <w:tc>
          <w:tcPr>
            <w:tcW w:w="1279" w:type="dxa"/>
            <w:tcMar>
              <w:left w:w="43" w:type="dxa"/>
              <w:right w:w="43" w:type="dxa"/>
            </w:tcMar>
            <w:vAlign w:val="center"/>
          </w:tcPr>
          <w:p w:rsidR="009576CD" w:rsidRPr="001F161D" w:rsidRDefault="009576CD" w:rsidP="009576CD">
            <w:pPr>
              <w:spacing w:line="276" w:lineRule="auto"/>
              <w:jc w:val="center"/>
              <w:rPr>
                <w:highlight w:val="green"/>
              </w:rPr>
            </w:pPr>
            <w:r w:rsidRPr="00CB5851">
              <w:t>0%</w:t>
            </w:r>
          </w:p>
        </w:tc>
        <w:tc>
          <w:tcPr>
            <w:tcW w:w="1279" w:type="dxa"/>
            <w:tcMar>
              <w:left w:w="43" w:type="dxa"/>
              <w:right w:w="43" w:type="dxa"/>
            </w:tcMar>
            <w:vAlign w:val="center"/>
          </w:tcPr>
          <w:p w:rsidR="009576CD" w:rsidRPr="00CB5851" w:rsidRDefault="009576CD" w:rsidP="009576CD">
            <w:pPr>
              <w:spacing w:line="276" w:lineRule="auto"/>
              <w:jc w:val="center"/>
            </w:pPr>
            <w:r w:rsidRPr="00CB5851">
              <w:t>25% (1)</w:t>
            </w:r>
          </w:p>
        </w:tc>
        <w:tc>
          <w:tcPr>
            <w:tcW w:w="1279" w:type="dxa"/>
            <w:tcMar>
              <w:left w:w="43" w:type="dxa"/>
              <w:right w:w="43" w:type="dxa"/>
            </w:tcMar>
            <w:vAlign w:val="center"/>
          </w:tcPr>
          <w:p w:rsidR="009576CD" w:rsidRPr="001F161D" w:rsidRDefault="009576CD" w:rsidP="009576CD">
            <w:pPr>
              <w:spacing w:line="276" w:lineRule="auto"/>
              <w:jc w:val="center"/>
              <w:rPr>
                <w:highlight w:val="green"/>
              </w:rPr>
            </w:pPr>
            <w:r w:rsidRPr="00CB5851">
              <w:t>0%</w:t>
            </w:r>
          </w:p>
        </w:tc>
        <w:tc>
          <w:tcPr>
            <w:tcW w:w="1279" w:type="dxa"/>
            <w:vAlign w:val="center"/>
          </w:tcPr>
          <w:p w:rsidR="009576CD" w:rsidRPr="00CB5851" w:rsidRDefault="009576CD" w:rsidP="009576CD">
            <w:pPr>
              <w:spacing w:line="276" w:lineRule="auto"/>
              <w:jc w:val="center"/>
            </w:pPr>
            <w:r w:rsidRPr="00CB5851">
              <w:t>0%</w:t>
            </w:r>
          </w:p>
        </w:tc>
        <w:tc>
          <w:tcPr>
            <w:tcW w:w="1279" w:type="dxa"/>
            <w:vAlign w:val="center"/>
          </w:tcPr>
          <w:p w:rsidR="009576CD" w:rsidRPr="00CB5851" w:rsidRDefault="009576CD" w:rsidP="009576CD">
            <w:pPr>
              <w:spacing w:line="276" w:lineRule="auto"/>
              <w:jc w:val="center"/>
            </w:pPr>
            <w:r w:rsidRPr="00CB5851">
              <w:t>0%</w:t>
            </w:r>
          </w:p>
        </w:tc>
        <w:tc>
          <w:tcPr>
            <w:tcW w:w="1279" w:type="dxa"/>
            <w:vAlign w:val="center"/>
          </w:tcPr>
          <w:p w:rsidR="009576CD" w:rsidRPr="00CB5851" w:rsidRDefault="009576CD" w:rsidP="009576CD">
            <w:pPr>
              <w:spacing w:line="276" w:lineRule="auto"/>
              <w:jc w:val="center"/>
            </w:pPr>
            <w:r w:rsidRPr="00CB5851">
              <w:t>0%</w:t>
            </w:r>
          </w:p>
        </w:tc>
      </w:tr>
      <w:tr w:rsidR="009576CD" w:rsidRPr="001F161D" w:rsidTr="009576CD">
        <w:tc>
          <w:tcPr>
            <w:tcW w:w="1278" w:type="dxa"/>
            <w:tcMar>
              <w:left w:w="43" w:type="dxa"/>
              <w:right w:w="43" w:type="dxa"/>
            </w:tcMar>
            <w:vAlign w:val="center"/>
          </w:tcPr>
          <w:p w:rsidR="009576CD" w:rsidRPr="00CB5851" w:rsidRDefault="009576CD" w:rsidP="009576CD">
            <w:pPr>
              <w:spacing w:line="276" w:lineRule="auto"/>
              <w:jc w:val="center"/>
            </w:pPr>
            <w:r w:rsidRPr="00CB5851">
              <w:lastRenderedPageBreak/>
              <w:t>Disagree</w:t>
            </w:r>
          </w:p>
        </w:tc>
        <w:tc>
          <w:tcPr>
            <w:tcW w:w="1279" w:type="dxa"/>
            <w:tcMar>
              <w:left w:w="43" w:type="dxa"/>
              <w:right w:w="43" w:type="dxa"/>
            </w:tcMar>
            <w:vAlign w:val="center"/>
          </w:tcPr>
          <w:p w:rsidR="009576CD" w:rsidRPr="00CB5851" w:rsidRDefault="009576CD" w:rsidP="009576CD">
            <w:pPr>
              <w:spacing w:line="276" w:lineRule="auto"/>
              <w:jc w:val="center"/>
            </w:pPr>
            <w:r w:rsidRPr="00CB5851">
              <w:t>0%</w:t>
            </w:r>
          </w:p>
        </w:tc>
        <w:tc>
          <w:tcPr>
            <w:tcW w:w="1279" w:type="dxa"/>
            <w:tcMar>
              <w:left w:w="43" w:type="dxa"/>
              <w:right w:w="43" w:type="dxa"/>
            </w:tcMar>
            <w:vAlign w:val="center"/>
          </w:tcPr>
          <w:p w:rsidR="009576CD" w:rsidRPr="001F161D" w:rsidRDefault="009576CD" w:rsidP="009576CD">
            <w:pPr>
              <w:spacing w:line="276" w:lineRule="auto"/>
              <w:jc w:val="center"/>
              <w:rPr>
                <w:highlight w:val="green"/>
              </w:rPr>
            </w:pPr>
            <w:r w:rsidRPr="00CB5851">
              <w:t>0%</w:t>
            </w:r>
          </w:p>
        </w:tc>
        <w:tc>
          <w:tcPr>
            <w:tcW w:w="1279" w:type="dxa"/>
            <w:tcMar>
              <w:left w:w="43" w:type="dxa"/>
              <w:right w:w="43" w:type="dxa"/>
            </w:tcMar>
            <w:vAlign w:val="center"/>
          </w:tcPr>
          <w:p w:rsidR="009576CD" w:rsidRPr="00CB5851" w:rsidRDefault="009576CD" w:rsidP="009576CD">
            <w:pPr>
              <w:spacing w:line="276" w:lineRule="auto"/>
              <w:jc w:val="center"/>
            </w:pPr>
            <w:r w:rsidRPr="00CB5851">
              <w:t>0%</w:t>
            </w:r>
          </w:p>
        </w:tc>
        <w:tc>
          <w:tcPr>
            <w:tcW w:w="1279" w:type="dxa"/>
            <w:tcMar>
              <w:left w:w="43" w:type="dxa"/>
              <w:right w:w="43" w:type="dxa"/>
            </w:tcMar>
            <w:vAlign w:val="center"/>
          </w:tcPr>
          <w:p w:rsidR="009576CD" w:rsidRPr="001F161D" w:rsidRDefault="009576CD" w:rsidP="009576CD">
            <w:pPr>
              <w:spacing w:line="276" w:lineRule="auto"/>
              <w:jc w:val="center"/>
              <w:rPr>
                <w:highlight w:val="green"/>
              </w:rPr>
            </w:pPr>
            <w:r w:rsidRPr="00CB5851">
              <w:t>0%</w:t>
            </w:r>
          </w:p>
        </w:tc>
        <w:tc>
          <w:tcPr>
            <w:tcW w:w="1279" w:type="dxa"/>
            <w:vAlign w:val="center"/>
          </w:tcPr>
          <w:p w:rsidR="009576CD" w:rsidRPr="00CB5851" w:rsidRDefault="009576CD" w:rsidP="009576CD">
            <w:pPr>
              <w:spacing w:line="276" w:lineRule="auto"/>
              <w:jc w:val="center"/>
            </w:pPr>
            <w:r w:rsidRPr="00CB5851">
              <w:t>0%</w:t>
            </w:r>
          </w:p>
        </w:tc>
        <w:tc>
          <w:tcPr>
            <w:tcW w:w="1279" w:type="dxa"/>
            <w:vAlign w:val="center"/>
          </w:tcPr>
          <w:p w:rsidR="009576CD" w:rsidRPr="00CB5851" w:rsidRDefault="009576CD" w:rsidP="009576CD">
            <w:pPr>
              <w:spacing w:line="276" w:lineRule="auto"/>
              <w:jc w:val="center"/>
            </w:pPr>
            <w:r w:rsidRPr="00CB5851">
              <w:t>0%</w:t>
            </w:r>
          </w:p>
        </w:tc>
        <w:tc>
          <w:tcPr>
            <w:tcW w:w="1279" w:type="dxa"/>
            <w:vAlign w:val="center"/>
          </w:tcPr>
          <w:p w:rsidR="009576CD" w:rsidRPr="00CB5851" w:rsidRDefault="009576CD" w:rsidP="009576CD">
            <w:pPr>
              <w:spacing w:line="276" w:lineRule="auto"/>
              <w:jc w:val="center"/>
            </w:pPr>
            <w:r w:rsidRPr="00CB5851">
              <w:t>0%</w:t>
            </w:r>
          </w:p>
        </w:tc>
      </w:tr>
      <w:tr w:rsidR="009576CD" w:rsidRPr="001F161D" w:rsidTr="009576CD">
        <w:tc>
          <w:tcPr>
            <w:tcW w:w="1278" w:type="dxa"/>
            <w:tcMar>
              <w:left w:w="43" w:type="dxa"/>
              <w:right w:w="43" w:type="dxa"/>
            </w:tcMar>
            <w:vAlign w:val="center"/>
          </w:tcPr>
          <w:p w:rsidR="009576CD" w:rsidRPr="00CB5851" w:rsidRDefault="009576CD" w:rsidP="009576CD">
            <w:pPr>
              <w:spacing w:line="276" w:lineRule="auto"/>
              <w:jc w:val="center"/>
            </w:pPr>
            <w:r w:rsidRPr="00CB5851">
              <w:t>Not Applicable</w:t>
            </w:r>
          </w:p>
        </w:tc>
        <w:tc>
          <w:tcPr>
            <w:tcW w:w="1279" w:type="dxa"/>
            <w:tcMar>
              <w:left w:w="43" w:type="dxa"/>
              <w:right w:w="43" w:type="dxa"/>
            </w:tcMar>
            <w:vAlign w:val="center"/>
          </w:tcPr>
          <w:p w:rsidR="009576CD" w:rsidRPr="00CB5851" w:rsidRDefault="009576CD" w:rsidP="009576CD">
            <w:pPr>
              <w:spacing w:line="276" w:lineRule="auto"/>
              <w:jc w:val="center"/>
            </w:pPr>
            <w:r w:rsidRPr="00CB5851">
              <w:t>0%</w:t>
            </w:r>
          </w:p>
        </w:tc>
        <w:tc>
          <w:tcPr>
            <w:tcW w:w="1279" w:type="dxa"/>
            <w:tcMar>
              <w:left w:w="43" w:type="dxa"/>
              <w:right w:w="43" w:type="dxa"/>
            </w:tcMar>
            <w:vAlign w:val="center"/>
          </w:tcPr>
          <w:p w:rsidR="009576CD" w:rsidRPr="001F161D" w:rsidRDefault="009576CD" w:rsidP="009576CD">
            <w:pPr>
              <w:spacing w:line="276" w:lineRule="auto"/>
              <w:jc w:val="center"/>
              <w:rPr>
                <w:highlight w:val="green"/>
              </w:rPr>
            </w:pPr>
            <w:r w:rsidRPr="00CB5851">
              <w:t>0%</w:t>
            </w:r>
          </w:p>
        </w:tc>
        <w:tc>
          <w:tcPr>
            <w:tcW w:w="1279" w:type="dxa"/>
            <w:tcMar>
              <w:left w:w="43" w:type="dxa"/>
              <w:right w:w="43" w:type="dxa"/>
            </w:tcMar>
            <w:vAlign w:val="center"/>
          </w:tcPr>
          <w:p w:rsidR="009576CD" w:rsidRPr="00CB5851" w:rsidRDefault="009576CD" w:rsidP="009576CD">
            <w:pPr>
              <w:spacing w:line="276" w:lineRule="auto"/>
              <w:jc w:val="center"/>
            </w:pPr>
            <w:r w:rsidRPr="00CB5851">
              <w:t>0%</w:t>
            </w:r>
          </w:p>
        </w:tc>
        <w:tc>
          <w:tcPr>
            <w:tcW w:w="1279" w:type="dxa"/>
            <w:tcMar>
              <w:left w:w="43" w:type="dxa"/>
              <w:right w:w="43" w:type="dxa"/>
            </w:tcMar>
            <w:vAlign w:val="center"/>
          </w:tcPr>
          <w:p w:rsidR="009576CD" w:rsidRPr="001F161D" w:rsidRDefault="009576CD" w:rsidP="009576CD">
            <w:pPr>
              <w:spacing w:line="276" w:lineRule="auto"/>
              <w:jc w:val="center"/>
              <w:rPr>
                <w:highlight w:val="green"/>
              </w:rPr>
            </w:pPr>
            <w:r w:rsidRPr="00CB5851">
              <w:t>0%</w:t>
            </w:r>
          </w:p>
        </w:tc>
        <w:tc>
          <w:tcPr>
            <w:tcW w:w="1279" w:type="dxa"/>
            <w:vAlign w:val="center"/>
          </w:tcPr>
          <w:p w:rsidR="009576CD" w:rsidRPr="00CB5851" w:rsidRDefault="009576CD" w:rsidP="009576CD">
            <w:pPr>
              <w:spacing w:line="276" w:lineRule="auto"/>
              <w:jc w:val="center"/>
            </w:pPr>
            <w:r w:rsidRPr="00CB5851">
              <w:t>0%</w:t>
            </w:r>
          </w:p>
        </w:tc>
        <w:tc>
          <w:tcPr>
            <w:tcW w:w="1279" w:type="dxa"/>
            <w:vAlign w:val="center"/>
          </w:tcPr>
          <w:p w:rsidR="009576CD" w:rsidRPr="00CB5851" w:rsidRDefault="009576CD" w:rsidP="009576CD">
            <w:pPr>
              <w:spacing w:line="276" w:lineRule="auto"/>
              <w:jc w:val="center"/>
            </w:pPr>
            <w:r w:rsidRPr="00CB5851">
              <w:t>0%</w:t>
            </w:r>
          </w:p>
        </w:tc>
        <w:tc>
          <w:tcPr>
            <w:tcW w:w="1279" w:type="dxa"/>
            <w:vAlign w:val="center"/>
          </w:tcPr>
          <w:p w:rsidR="009576CD" w:rsidRPr="00CB5851" w:rsidRDefault="009576CD" w:rsidP="009576CD">
            <w:pPr>
              <w:spacing w:line="276" w:lineRule="auto"/>
              <w:jc w:val="center"/>
            </w:pPr>
            <w:r w:rsidRPr="00CB5851">
              <w:t>0%</w:t>
            </w:r>
          </w:p>
        </w:tc>
      </w:tr>
    </w:tbl>
    <w:p w:rsidR="00D9158B" w:rsidRPr="001F161D" w:rsidRDefault="00D9158B" w:rsidP="00786B05">
      <w:pPr>
        <w:spacing w:line="276" w:lineRule="auto"/>
        <w:rPr>
          <w:highlight w:val="green"/>
        </w:rPr>
      </w:pPr>
    </w:p>
    <w:p w:rsidR="009E253E" w:rsidRPr="001F161D" w:rsidRDefault="00AE5D96" w:rsidP="00E44E82">
      <w:pPr>
        <w:spacing w:line="276" w:lineRule="auto"/>
        <w:rPr>
          <w:highlight w:val="green"/>
        </w:rPr>
      </w:pPr>
      <w:r w:rsidRPr="009576CD">
        <w:t xml:space="preserve">As identified in Table 1, the majority of students found </w:t>
      </w:r>
      <w:r w:rsidR="009576CD">
        <w:t xml:space="preserve">most </w:t>
      </w:r>
      <w:r w:rsidRPr="009576CD">
        <w:t xml:space="preserve">of the </w:t>
      </w:r>
      <w:r w:rsidR="009576CD">
        <w:t xml:space="preserve">online components of the hybrid course </w:t>
      </w:r>
      <w:r w:rsidRPr="009576CD">
        <w:t xml:space="preserve">very favorable while the minority of students found them neutral and/or less favorable.  </w:t>
      </w:r>
      <w:r w:rsidR="009576CD">
        <w:t xml:space="preserve">The two items that were more neutral included the video discussion boards and the ANGEL Case Quizzes. The investigator contributes </w:t>
      </w:r>
      <w:r w:rsidR="00E44E82">
        <w:t xml:space="preserve">the neutral favorability of the online discussions </w:t>
      </w:r>
      <w:r w:rsidR="009576CD">
        <w:t>to the very small group size this semester compared to other</w:t>
      </w:r>
      <w:r w:rsidR="00E44E82">
        <w:t xml:space="preserve"> semester</w:t>
      </w:r>
      <w:r w:rsidR="00AD71C5">
        <w:t>s</w:t>
      </w:r>
      <w:r w:rsidR="009576CD">
        <w:t>. For future semesters, an alternative assignment will be conducted if class size is small to provide the best avenue for reflection on the videos. In regards to ANGEL Case Quizzes, questions may be altered</w:t>
      </w:r>
      <w:r w:rsidR="00E44E82">
        <w:t xml:space="preserve"> in the future</w:t>
      </w:r>
      <w:r w:rsidR="009576CD">
        <w:t xml:space="preserve">; however, </w:t>
      </w:r>
      <w:r w:rsidR="00E44E82">
        <w:t xml:space="preserve">the quizzes are </w:t>
      </w:r>
      <w:r w:rsidR="009576CD">
        <w:t>needed to ensure students have read the material to engage in in-class discussion.</w:t>
      </w:r>
      <w:r w:rsidR="0031475B">
        <w:br/>
      </w:r>
    </w:p>
    <w:p w:rsidR="0031475B" w:rsidRDefault="0031475B" w:rsidP="0031475B">
      <w:pPr>
        <w:pStyle w:val="Caption"/>
        <w:keepNext/>
      </w:pPr>
      <w:proofErr w:type="gramStart"/>
      <w:r>
        <w:t xml:space="preserve">Table </w:t>
      </w:r>
      <w:fldSimple w:instr=" SEQ Table \* ARABIC ">
        <w:r>
          <w:rPr>
            <w:noProof/>
          </w:rPr>
          <w:t>2</w:t>
        </w:r>
      </w:fldSimple>
      <w:r w:rsidRPr="00F318C2">
        <w:t>.</w:t>
      </w:r>
      <w:proofErr w:type="gramEnd"/>
      <w:r w:rsidRPr="00F318C2">
        <w:t xml:space="preserve"> Student perception of active learning in the hybrid course format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responses and percentage of respondants"/>
      </w:tblPr>
      <w:tblGrid>
        <w:gridCol w:w="1829"/>
        <w:gridCol w:w="5148"/>
      </w:tblGrid>
      <w:tr w:rsidR="0065490A" w:rsidRPr="001F161D" w:rsidTr="00DE2CEC">
        <w:trPr>
          <w:jc w:val="center"/>
        </w:trPr>
        <w:tc>
          <w:tcPr>
            <w:tcW w:w="1829" w:type="dxa"/>
            <w:tcMar>
              <w:left w:w="43" w:type="dxa"/>
              <w:right w:w="43" w:type="dxa"/>
            </w:tcMar>
            <w:vAlign w:val="center"/>
          </w:tcPr>
          <w:p w:rsidR="0065490A" w:rsidRPr="009576CD" w:rsidRDefault="0065490A" w:rsidP="00786B05">
            <w:pPr>
              <w:spacing w:line="276" w:lineRule="auto"/>
              <w:jc w:val="center"/>
            </w:pPr>
            <w:r w:rsidRPr="009576CD">
              <w:t>Response</w:t>
            </w:r>
          </w:p>
        </w:tc>
        <w:tc>
          <w:tcPr>
            <w:tcW w:w="5148" w:type="dxa"/>
            <w:tcMar>
              <w:left w:w="43" w:type="dxa"/>
              <w:right w:w="43" w:type="dxa"/>
            </w:tcMar>
            <w:vAlign w:val="center"/>
          </w:tcPr>
          <w:p w:rsidR="0065490A" w:rsidRPr="009576CD" w:rsidRDefault="0065490A" w:rsidP="00786B05">
            <w:pPr>
              <w:spacing w:line="276" w:lineRule="auto"/>
              <w:jc w:val="center"/>
            </w:pPr>
            <w:r w:rsidRPr="009576CD">
              <w:t>This course requires students to be active participants in the teaching and learning process.</w:t>
            </w:r>
          </w:p>
        </w:tc>
      </w:tr>
      <w:tr w:rsidR="0065490A" w:rsidRPr="001F161D" w:rsidTr="00DE2CEC">
        <w:trPr>
          <w:jc w:val="center"/>
        </w:trPr>
        <w:tc>
          <w:tcPr>
            <w:tcW w:w="1829" w:type="dxa"/>
            <w:tcMar>
              <w:left w:w="43" w:type="dxa"/>
              <w:right w:w="43" w:type="dxa"/>
            </w:tcMar>
            <w:vAlign w:val="center"/>
          </w:tcPr>
          <w:p w:rsidR="0065490A" w:rsidRPr="009576CD" w:rsidRDefault="0065490A" w:rsidP="00786B05">
            <w:pPr>
              <w:spacing w:line="276" w:lineRule="auto"/>
              <w:jc w:val="center"/>
            </w:pPr>
            <w:r w:rsidRPr="009576CD">
              <w:t>Always</w:t>
            </w:r>
          </w:p>
        </w:tc>
        <w:tc>
          <w:tcPr>
            <w:tcW w:w="5148" w:type="dxa"/>
            <w:tcMar>
              <w:left w:w="43" w:type="dxa"/>
              <w:right w:w="43" w:type="dxa"/>
            </w:tcMar>
            <w:vAlign w:val="center"/>
          </w:tcPr>
          <w:p w:rsidR="0065490A" w:rsidRPr="009576CD" w:rsidRDefault="009576CD" w:rsidP="00786B05">
            <w:pPr>
              <w:spacing w:line="276" w:lineRule="auto"/>
              <w:jc w:val="center"/>
            </w:pPr>
            <w:r w:rsidRPr="00CB5851">
              <w:t>75% (3)</w:t>
            </w:r>
          </w:p>
        </w:tc>
      </w:tr>
      <w:tr w:rsidR="0065490A" w:rsidRPr="001F161D" w:rsidTr="00DE2CEC">
        <w:trPr>
          <w:jc w:val="center"/>
        </w:trPr>
        <w:tc>
          <w:tcPr>
            <w:tcW w:w="1829" w:type="dxa"/>
            <w:tcMar>
              <w:left w:w="43" w:type="dxa"/>
              <w:right w:w="43" w:type="dxa"/>
            </w:tcMar>
            <w:vAlign w:val="center"/>
          </w:tcPr>
          <w:p w:rsidR="0065490A" w:rsidRPr="009576CD" w:rsidRDefault="0065490A" w:rsidP="00786B05">
            <w:pPr>
              <w:spacing w:line="276" w:lineRule="auto"/>
              <w:jc w:val="center"/>
            </w:pPr>
            <w:r w:rsidRPr="009576CD">
              <w:t>Very Often</w:t>
            </w:r>
          </w:p>
        </w:tc>
        <w:tc>
          <w:tcPr>
            <w:tcW w:w="5148" w:type="dxa"/>
            <w:tcMar>
              <w:left w:w="43" w:type="dxa"/>
              <w:right w:w="43" w:type="dxa"/>
            </w:tcMar>
            <w:vAlign w:val="center"/>
          </w:tcPr>
          <w:p w:rsidR="0065490A" w:rsidRPr="009576CD" w:rsidRDefault="009576CD" w:rsidP="00786B05">
            <w:pPr>
              <w:spacing w:line="276" w:lineRule="auto"/>
              <w:jc w:val="center"/>
            </w:pPr>
            <w:r w:rsidRPr="00CB5851">
              <w:t>0%</w:t>
            </w:r>
          </w:p>
        </w:tc>
      </w:tr>
      <w:tr w:rsidR="0065490A" w:rsidRPr="001F161D" w:rsidTr="00DE2CEC">
        <w:trPr>
          <w:jc w:val="center"/>
        </w:trPr>
        <w:tc>
          <w:tcPr>
            <w:tcW w:w="1829" w:type="dxa"/>
            <w:tcMar>
              <w:left w:w="43" w:type="dxa"/>
              <w:right w:w="43" w:type="dxa"/>
            </w:tcMar>
            <w:vAlign w:val="center"/>
          </w:tcPr>
          <w:p w:rsidR="0065490A" w:rsidRPr="009576CD" w:rsidRDefault="0065490A" w:rsidP="00786B05">
            <w:pPr>
              <w:spacing w:line="276" w:lineRule="auto"/>
              <w:jc w:val="center"/>
            </w:pPr>
            <w:r w:rsidRPr="009576CD">
              <w:t>Often</w:t>
            </w:r>
          </w:p>
        </w:tc>
        <w:tc>
          <w:tcPr>
            <w:tcW w:w="5148" w:type="dxa"/>
            <w:tcMar>
              <w:left w:w="43" w:type="dxa"/>
              <w:right w:w="43" w:type="dxa"/>
            </w:tcMar>
            <w:vAlign w:val="center"/>
          </w:tcPr>
          <w:p w:rsidR="0065490A" w:rsidRPr="009576CD" w:rsidRDefault="009576CD" w:rsidP="00786B05">
            <w:pPr>
              <w:spacing w:line="276" w:lineRule="auto"/>
              <w:jc w:val="center"/>
            </w:pPr>
            <w:r w:rsidRPr="00CB5851">
              <w:t>25% (1)</w:t>
            </w:r>
          </w:p>
        </w:tc>
      </w:tr>
      <w:tr w:rsidR="009576CD" w:rsidRPr="001F161D" w:rsidTr="00842931">
        <w:trPr>
          <w:jc w:val="center"/>
        </w:trPr>
        <w:tc>
          <w:tcPr>
            <w:tcW w:w="1829" w:type="dxa"/>
            <w:tcMar>
              <w:left w:w="43" w:type="dxa"/>
              <w:right w:w="43" w:type="dxa"/>
            </w:tcMar>
            <w:vAlign w:val="center"/>
          </w:tcPr>
          <w:p w:rsidR="009576CD" w:rsidRPr="009576CD" w:rsidRDefault="009576CD" w:rsidP="00786B05">
            <w:pPr>
              <w:spacing w:line="276" w:lineRule="auto"/>
              <w:jc w:val="center"/>
            </w:pPr>
            <w:r w:rsidRPr="009576CD">
              <w:t>Occasionally</w:t>
            </w:r>
          </w:p>
        </w:tc>
        <w:tc>
          <w:tcPr>
            <w:tcW w:w="5148" w:type="dxa"/>
            <w:tcMar>
              <w:left w:w="43" w:type="dxa"/>
              <w:right w:w="43" w:type="dxa"/>
            </w:tcMar>
          </w:tcPr>
          <w:p w:rsidR="009576CD" w:rsidRDefault="009576CD" w:rsidP="009576CD">
            <w:pPr>
              <w:jc w:val="center"/>
            </w:pPr>
            <w:r w:rsidRPr="00B81F11">
              <w:t>0%</w:t>
            </w:r>
          </w:p>
        </w:tc>
      </w:tr>
      <w:tr w:rsidR="009576CD" w:rsidRPr="001F161D" w:rsidTr="00842931">
        <w:trPr>
          <w:jc w:val="center"/>
        </w:trPr>
        <w:tc>
          <w:tcPr>
            <w:tcW w:w="1829" w:type="dxa"/>
            <w:tcMar>
              <w:left w:w="43" w:type="dxa"/>
              <w:right w:w="43" w:type="dxa"/>
            </w:tcMar>
            <w:vAlign w:val="center"/>
          </w:tcPr>
          <w:p w:rsidR="009576CD" w:rsidRPr="009576CD" w:rsidRDefault="009576CD" w:rsidP="00786B05">
            <w:pPr>
              <w:spacing w:line="276" w:lineRule="auto"/>
              <w:jc w:val="center"/>
            </w:pPr>
            <w:r w:rsidRPr="009576CD">
              <w:t>Rarely or Never</w:t>
            </w:r>
          </w:p>
        </w:tc>
        <w:tc>
          <w:tcPr>
            <w:tcW w:w="5148" w:type="dxa"/>
            <w:tcMar>
              <w:left w:w="43" w:type="dxa"/>
              <w:right w:w="43" w:type="dxa"/>
            </w:tcMar>
          </w:tcPr>
          <w:p w:rsidR="009576CD" w:rsidRDefault="009576CD" w:rsidP="009576CD">
            <w:pPr>
              <w:jc w:val="center"/>
            </w:pPr>
            <w:r w:rsidRPr="00B81F11">
              <w:t>0%</w:t>
            </w:r>
          </w:p>
        </w:tc>
      </w:tr>
    </w:tbl>
    <w:p w:rsidR="0065490A" w:rsidRPr="001F161D" w:rsidRDefault="0065490A" w:rsidP="00786B05">
      <w:pPr>
        <w:spacing w:line="276" w:lineRule="auto"/>
        <w:rPr>
          <w:b/>
          <w:highlight w:val="green"/>
        </w:rPr>
      </w:pPr>
    </w:p>
    <w:p w:rsidR="007D629D" w:rsidRPr="009576CD" w:rsidRDefault="00AE5D96" w:rsidP="009576CD">
      <w:pPr>
        <w:spacing w:line="276" w:lineRule="auto"/>
      </w:pPr>
      <w:r w:rsidRPr="009576CD">
        <w:t>As identified in Table 2, the majority of students (</w:t>
      </w:r>
      <w:r w:rsidR="009576CD" w:rsidRPr="009576CD">
        <w:t>75%</w:t>
      </w:r>
      <w:r w:rsidRPr="009576CD">
        <w:t>) found this course format required active learning as part of their course progression</w:t>
      </w:r>
      <w:r w:rsidR="009576CD">
        <w:t xml:space="preserve"> on a consistent basis</w:t>
      </w:r>
      <w:r w:rsidRPr="009576CD">
        <w:t>.</w:t>
      </w:r>
    </w:p>
    <w:p w:rsidR="0065490A" w:rsidRPr="001F161D" w:rsidRDefault="0065490A" w:rsidP="00786B05">
      <w:pPr>
        <w:spacing w:line="276" w:lineRule="auto"/>
        <w:rPr>
          <w:highlight w:val="green"/>
        </w:rPr>
      </w:pPr>
    </w:p>
    <w:p w:rsidR="008C2973" w:rsidRPr="008C2973" w:rsidRDefault="008C2973" w:rsidP="00786B05">
      <w:pPr>
        <w:spacing w:line="276" w:lineRule="auto"/>
      </w:pPr>
      <w:r w:rsidRPr="008C2973">
        <w:t xml:space="preserve">Quantitative data was not reviewed </w:t>
      </w:r>
      <w:r w:rsidR="009576CD">
        <w:t xml:space="preserve">for this hybrid course </w:t>
      </w:r>
      <w:r w:rsidRPr="008C2973">
        <w:t>to ensure the anonymity of students. S</w:t>
      </w:r>
      <w:r>
        <w:t>ince the ENGR497 course has no more than 15 students, any type of quantitative analysis will not be conducted.</w:t>
      </w:r>
    </w:p>
    <w:p w:rsidR="00A4458C" w:rsidRDefault="00A4458C" w:rsidP="00786B05">
      <w:pPr>
        <w:spacing w:line="276" w:lineRule="auto"/>
      </w:pPr>
    </w:p>
    <w:p w:rsidR="00A90596" w:rsidRPr="001F161D" w:rsidRDefault="00A90596" w:rsidP="0031475B">
      <w:pPr>
        <w:pStyle w:val="Heading2"/>
      </w:pPr>
      <w:r w:rsidRPr="001F161D">
        <w:t>Future Plans for Enhancement</w:t>
      </w:r>
    </w:p>
    <w:p w:rsidR="00BF66B6" w:rsidRPr="00BF66B6" w:rsidRDefault="00BF66B6" w:rsidP="00AD71C5">
      <w:pPr>
        <w:spacing w:line="276" w:lineRule="auto"/>
      </w:pPr>
      <w:r w:rsidRPr="001F161D">
        <w:t xml:space="preserve">The design and development of a hybrid course is not a “once and done” procedure.  </w:t>
      </w:r>
      <w:r w:rsidR="00AD71C5">
        <w:t xml:space="preserve">The investigator </w:t>
      </w:r>
      <w:r w:rsidRPr="001F161D">
        <w:t>will continue to evaluate the course after each semester and go th</w:t>
      </w:r>
      <w:r w:rsidR="001F6306" w:rsidRPr="001F161D">
        <w:t>rough the reiterative process.  This process is based upon the generic instructional systems design model called the ADDIE model that many hybrid / online course development models use as a basis today.  The ADDIE model represents each phase including Analysis, Design, Development, Implementation, and Evaluation</w:t>
      </w:r>
      <w:r w:rsidR="001F6306" w:rsidRPr="001F161D">
        <w:rPr>
          <w:noProof/>
        </w:rPr>
        <w:t xml:space="preserve"> (Dick)</w:t>
      </w:r>
      <w:r w:rsidR="001F6306" w:rsidRPr="001F161D">
        <w:t xml:space="preserve">. </w:t>
      </w:r>
      <w:r w:rsidR="00AD71C5">
        <w:t>In addition, the investigator</w:t>
      </w:r>
      <w:r w:rsidR="00916A19" w:rsidRPr="001F161D">
        <w:t xml:space="preserve"> will continue to work with the Instructional Designer as part of this process to strive for an improvement of learning and retention.</w:t>
      </w:r>
    </w:p>
    <w:p w:rsidR="00571C6E" w:rsidRPr="00875700" w:rsidRDefault="00571C6E" w:rsidP="00786B05">
      <w:pPr>
        <w:spacing w:line="276" w:lineRule="auto"/>
      </w:pPr>
    </w:p>
    <w:p w:rsidR="005D44E3" w:rsidRDefault="005D44E3" w:rsidP="0031475B">
      <w:pPr>
        <w:pStyle w:val="Heading2"/>
      </w:pPr>
      <w:r w:rsidRPr="00875700">
        <w:t>Scholarly Outcomes</w:t>
      </w:r>
    </w:p>
    <w:p w:rsidR="00E44E82" w:rsidRPr="0031475B" w:rsidRDefault="0018374F" w:rsidP="0031475B">
      <w:pPr>
        <w:spacing w:line="276" w:lineRule="auto"/>
        <w:ind w:left="720" w:hanging="720"/>
      </w:pPr>
      <w:r>
        <w:t xml:space="preserve">There are currently no </w:t>
      </w:r>
      <w:r w:rsidR="00075590" w:rsidRPr="00075590">
        <w:t>publications or presentations that resulted from this project</w:t>
      </w:r>
      <w:r>
        <w:t>.</w:t>
      </w:r>
      <w:bookmarkStart w:id="1" w:name="_GoBack"/>
      <w:bookmarkEnd w:id="1"/>
      <w:r w:rsidR="00E44E82">
        <w:rPr>
          <w:b/>
        </w:rPr>
        <w:br w:type="page"/>
      </w:r>
    </w:p>
    <w:p w:rsidR="005D44E3" w:rsidRPr="00875700" w:rsidRDefault="005D44E3" w:rsidP="0031475B">
      <w:pPr>
        <w:pStyle w:val="Heading2"/>
      </w:pPr>
      <w:r w:rsidRPr="00875700">
        <w:lastRenderedPageBreak/>
        <w:t>Recommendations</w:t>
      </w:r>
    </w:p>
    <w:p w:rsidR="00F32B5B" w:rsidRDefault="00391923" w:rsidP="00E44E82">
      <w:pPr>
        <w:spacing w:line="276" w:lineRule="auto"/>
      </w:pPr>
      <w:r w:rsidRPr="00391923">
        <w:t>Based on the experiences of designing and developing a hybrid course, the experiences of teaching a hybrid course, the findings of the qualitative data, and the students comments about their experiences in both the hybrid and traditional course sections, t</w:t>
      </w:r>
      <w:r w:rsidR="00AD71C5">
        <w:t>he investigator</w:t>
      </w:r>
      <w:r w:rsidRPr="00391923">
        <w:t xml:space="preserve"> make</w:t>
      </w:r>
      <w:r w:rsidR="00AD71C5">
        <w:t>s</w:t>
      </w:r>
      <w:r w:rsidRPr="00391923">
        <w:t xml:space="preserve"> the following recommendations</w:t>
      </w:r>
      <w:r w:rsidR="00F32B5B">
        <w:t>.</w:t>
      </w:r>
    </w:p>
    <w:p w:rsidR="0079001F" w:rsidRDefault="0079001F" w:rsidP="00BF7CD4">
      <w:pPr>
        <w:pStyle w:val="ListParagraph"/>
        <w:numPr>
          <w:ilvl w:val="0"/>
          <w:numId w:val="1"/>
        </w:numPr>
        <w:spacing w:line="276" w:lineRule="auto"/>
      </w:pPr>
      <w:r>
        <w:t xml:space="preserve">Flexibility: During the semester according to the student groups and what works best for them, the delivery style might be </w:t>
      </w:r>
      <w:r w:rsidR="00BF7CD4">
        <w:t>changed</w:t>
      </w:r>
      <w:r>
        <w:t>.</w:t>
      </w:r>
    </w:p>
    <w:p w:rsidR="00BF7CD4" w:rsidRDefault="00E65401" w:rsidP="00BF7CD4">
      <w:pPr>
        <w:pStyle w:val="ListParagraph"/>
        <w:numPr>
          <w:ilvl w:val="0"/>
          <w:numId w:val="1"/>
        </w:numPr>
        <w:spacing w:line="276" w:lineRule="auto"/>
      </w:pPr>
      <w:r>
        <w:t xml:space="preserve">Duration: </w:t>
      </w:r>
      <w:r w:rsidRPr="00E65401">
        <w:t xml:space="preserve">Start early in the design and development of hybrid </w:t>
      </w:r>
      <w:r>
        <w:t>courses since it takes longer than anticipated.</w:t>
      </w:r>
    </w:p>
    <w:p w:rsidR="0053619C" w:rsidRDefault="00E65401" w:rsidP="00BF7CD4">
      <w:pPr>
        <w:pStyle w:val="ListParagraph"/>
        <w:numPr>
          <w:ilvl w:val="0"/>
          <w:numId w:val="1"/>
        </w:numPr>
        <w:spacing w:line="276" w:lineRule="auto"/>
      </w:pPr>
      <w:r>
        <w:t>Clarification: Go over every single details, expectations and delivery format with students during the very first class.</w:t>
      </w:r>
    </w:p>
    <w:p w:rsidR="00BF7CD4" w:rsidRPr="00875700" w:rsidRDefault="00BF7CD4" w:rsidP="00786B05">
      <w:pPr>
        <w:spacing w:line="276" w:lineRule="auto"/>
      </w:pPr>
    </w:p>
    <w:p w:rsidR="00B26CC1" w:rsidRPr="00875700" w:rsidRDefault="00B26CC1" w:rsidP="0031475B">
      <w:pPr>
        <w:pStyle w:val="Heading2"/>
      </w:pPr>
      <w:r w:rsidRPr="00875700">
        <w:t>Conclusion</w:t>
      </w:r>
    </w:p>
    <w:p w:rsidR="00762BD9" w:rsidRDefault="003F6C25" w:rsidP="00786B05">
      <w:pPr>
        <w:spacing w:line="276" w:lineRule="auto"/>
      </w:pPr>
      <w:r>
        <w:t xml:space="preserve">The hybrid format of this course increased the level of active learning/participation from students.  The students especially appreciated out of class time for this capstone course since they each worked on </w:t>
      </w:r>
      <w:r w:rsidR="007F4565">
        <w:t xml:space="preserve">a </w:t>
      </w:r>
      <w:r>
        <w:t>different product innovation which needs specialized research.</w:t>
      </w:r>
    </w:p>
    <w:p w:rsidR="00BF7CD4" w:rsidRDefault="00BF7CD4" w:rsidP="00786B05">
      <w:pPr>
        <w:spacing w:line="276" w:lineRule="auto"/>
      </w:pPr>
    </w:p>
    <w:p w:rsidR="001C5CC2" w:rsidRPr="00875700" w:rsidRDefault="001C5CC2" w:rsidP="0031475B">
      <w:pPr>
        <w:pStyle w:val="Heading2"/>
      </w:pPr>
      <w:r w:rsidRPr="00875700">
        <w:t>Acknowledgements</w:t>
      </w:r>
    </w:p>
    <w:p w:rsidR="00762BD9" w:rsidRDefault="006A279A" w:rsidP="007F4565">
      <w:pPr>
        <w:spacing w:line="276" w:lineRule="auto"/>
      </w:pPr>
      <w:r w:rsidRPr="006A279A">
        <w:t>The in</w:t>
      </w:r>
      <w:r>
        <w:t>vestigator</w:t>
      </w:r>
      <w:r w:rsidRPr="00BF7CD4">
        <w:t xml:space="preserve"> gratefully acknowledges the help and support of the TLI team especially the Instructional Designer Amy Ro</w:t>
      </w:r>
      <w:r w:rsidR="00AA0BBD" w:rsidRPr="00AA0BBD">
        <w:t xml:space="preserve">che for her careful attention </w:t>
      </w:r>
      <w:r w:rsidR="00AA0BBD">
        <w:t>to</w:t>
      </w:r>
      <w:r w:rsidRPr="00BF7CD4">
        <w:t xml:space="preserve"> </w:t>
      </w:r>
      <w:r w:rsidR="003F6C25">
        <w:t xml:space="preserve">each and </w:t>
      </w:r>
      <w:r w:rsidRPr="00BF7CD4">
        <w:t xml:space="preserve">every </w:t>
      </w:r>
      <w:r w:rsidR="007F4565">
        <w:t>step</w:t>
      </w:r>
      <w:r w:rsidR="00AA0BBD">
        <w:t xml:space="preserve"> and </w:t>
      </w:r>
      <w:r w:rsidRPr="00BF7CD4">
        <w:t>details</w:t>
      </w:r>
      <w:r w:rsidR="007F4565">
        <w:t xml:space="preserve"> and John Shank, Instructional Design Librarian and Director of the TLI for his suggestions while putting together the proposal for this project</w:t>
      </w:r>
      <w:r w:rsidRPr="00BF7CD4">
        <w:t>.</w:t>
      </w:r>
      <w:r w:rsidR="0079001F">
        <w:t xml:space="preserve"> The investigator also thanks to </w:t>
      </w:r>
      <w:r w:rsidR="009C3E4F">
        <w:t xml:space="preserve">Dr. Paul </w:t>
      </w:r>
      <w:proofErr w:type="spellStart"/>
      <w:r w:rsidR="009C3E4F">
        <w:t>Esqueda</w:t>
      </w:r>
      <w:proofErr w:type="spellEnd"/>
      <w:r w:rsidR="009C3E4F">
        <w:t>, Senior</w:t>
      </w:r>
      <w:r w:rsidR="0079001F">
        <w:t xml:space="preserve"> Associate Dean for Academic Affairs, for the opportunity to make the hybrid version of this course as part of our </w:t>
      </w:r>
      <w:r w:rsidR="009C3E4F">
        <w:t xml:space="preserve">teaching </w:t>
      </w:r>
      <w:r w:rsidR="0079001F">
        <w:t xml:space="preserve">improvement </w:t>
      </w:r>
      <w:r w:rsidR="009C3E4F">
        <w:t>effort</w:t>
      </w:r>
      <w:r w:rsidR="0079001F">
        <w:t>.</w:t>
      </w:r>
    </w:p>
    <w:p w:rsidR="006A279A" w:rsidRPr="00BF7CD4" w:rsidRDefault="006A279A" w:rsidP="006A279A">
      <w:pPr>
        <w:spacing w:line="276" w:lineRule="auto"/>
      </w:pPr>
    </w:p>
    <w:p w:rsidR="001F6306" w:rsidRPr="00E44E82" w:rsidRDefault="001F6306" w:rsidP="0031475B">
      <w:pPr>
        <w:pStyle w:val="Heading2"/>
      </w:pPr>
      <w:r w:rsidRPr="00E44E82">
        <w:t>Works Cited</w:t>
      </w:r>
    </w:p>
    <w:p w:rsidR="00E44E82" w:rsidRDefault="00E44E82" w:rsidP="00E44E82">
      <w:pPr>
        <w:pStyle w:val="Bibliography"/>
        <w:spacing w:line="276" w:lineRule="auto"/>
        <w:ind w:left="720" w:hanging="720"/>
        <w:rPr>
          <w:noProof/>
        </w:rPr>
      </w:pPr>
      <w:r>
        <w:rPr>
          <w:noProof/>
        </w:rPr>
        <w:t xml:space="preserve">Dick, W. &amp;. (1996). </w:t>
      </w:r>
      <w:r w:rsidRPr="00E44E82">
        <w:rPr>
          <w:i/>
          <w:iCs/>
          <w:noProof/>
        </w:rPr>
        <w:t>The Systematic Design of Instruction</w:t>
      </w:r>
      <w:r>
        <w:rPr>
          <w:noProof/>
        </w:rPr>
        <w:t>. New York: Harper Collins College Publishers.</w:t>
      </w:r>
    </w:p>
    <w:p w:rsidR="00DE2CEC" w:rsidRDefault="00ED291A" w:rsidP="0031475B">
      <w:pPr>
        <w:pStyle w:val="Bibliography"/>
        <w:spacing w:line="276" w:lineRule="auto"/>
        <w:ind w:left="720" w:hanging="720"/>
      </w:pPr>
      <w:r w:rsidRPr="00E44E82">
        <w:rPr>
          <w:noProof/>
        </w:rPr>
        <w:t xml:space="preserve">Smith, R. M. (2008). </w:t>
      </w:r>
      <w:r w:rsidRPr="00E44E82">
        <w:rPr>
          <w:i/>
          <w:iCs/>
          <w:noProof/>
        </w:rPr>
        <w:t>Conquering the Content: A Step-by-Step Guide to Online Course Design.</w:t>
      </w:r>
      <w:r w:rsidRPr="00E44E82">
        <w:rPr>
          <w:noProof/>
        </w:rPr>
        <w:t xml:space="preserve"> San Francisco: Jossey-Bass.</w:t>
      </w:r>
      <w:r w:rsidR="0031475B">
        <w:t xml:space="preserve"> </w:t>
      </w:r>
    </w:p>
    <w:p w:rsidR="00B271DC" w:rsidRPr="00875700" w:rsidRDefault="00B271DC" w:rsidP="00786B05">
      <w:pPr>
        <w:spacing w:line="276" w:lineRule="auto"/>
        <w:ind w:left="720" w:hanging="720"/>
      </w:pPr>
    </w:p>
    <w:sectPr w:rsidR="00B271DC" w:rsidRPr="00875700" w:rsidSect="00CB5851">
      <w:headerReference w:type="even" r:id="rId9"/>
      <w:headerReference w:type="default" r:id="rId1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C5C" w:rsidRDefault="00871C5C">
      <w:r>
        <w:separator/>
      </w:r>
    </w:p>
  </w:endnote>
  <w:endnote w:type="continuationSeparator" w:id="0">
    <w:p w:rsidR="00871C5C" w:rsidRDefault="00871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C5C" w:rsidRDefault="00871C5C">
      <w:r>
        <w:separator/>
      </w:r>
    </w:p>
  </w:footnote>
  <w:footnote w:type="continuationSeparator" w:id="0">
    <w:p w:rsidR="00871C5C" w:rsidRDefault="00871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45E" w:rsidRDefault="003E345E" w:rsidP="0004456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345E" w:rsidRDefault="003E345E" w:rsidP="0004456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45E" w:rsidRDefault="00CB5851">
    <w:pPr>
      <w:pStyle w:val="Header"/>
      <w:jc w:val="right"/>
    </w:pPr>
    <w:r>
      <w:t xml:space="preserve">Dr. </w:t>
    </w:r>
    <w:proofErr w:type="spellStart"/>
    <w:r>
      <w:t>Sadan</w:t>
    </w:r>
    <w:proofErr w:type="spellEnd"/>
    <w:r>
      <w:t xml:space="preserve"> </w:t>
    </w:r>
    <w:proofErr w:type="spellStart"/>
    <w:r>
      <w:t>Kulturel</w:t>
    </w:r>
    <w:proofErr w:type="spellEnd"/>
    <w:r w:rsidR="003E345E">
      <w:t xml:space="preserve"> </w:t>
    </w:r>
    <w:r w:rsidR="003E345E">
      <w:fldChar w:fldCharType="begin"/>
    </w:r>
    <w:r w:rsidR="003E345E">
      <w:instrText xml:space="preserve"> PAGE   \* MERGEFORMAT </w:instrText>
    </w:r>
    <w:r w:rsidR="003E345E">
      <w:fldChar w:fldCharType="separate"/>
    </w:r>
    <w:r w:rsidR="0031475B">
      <w:rPr>
        <w:noProof/>
      </w:rPr>
      <w:t>3</w:t>
    </w:r>
    <w:r w:rsidR="003E345E">
      <w:fldChar w:fldCharType="end"/>
    </w:r>
  </w:p>
  <w:p w:rsidR="003E345E" w:rsidRPr="001C5CC2" w:rsidRDefault="003E345E" w:rsidP="0004456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37B66"/>
    <w:multiLevelType w:val="hybridMultilevel"/>
    <w:tmpl w:val="AD5C1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5E72C0"/>
    <w:multiLevelType w:val="hybridMultilevel"/>
    <w:tmpl w:val="AD5C1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046858"/>
    <w:multiLevelType w:val="hybridMultilevel"/>
    <w:tmpl w:val="8130A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560"/>
    <w:rsid w:val="000024F0"/>
    <w:rsid w:val="00004524"/>
    <w:rsid w:val="000071C0"/>
    <w:rsid w:val="00015985"/>
    <w:rsid w:val="0001699A"/>
    <w:rsid w:val="00016BF9"/>
    <w:rsid w:val="00023643"/>
    <w:rsid w:val="000240D6"/>
    <w:rsid w:val="000249B4"/>
    <w:rsid w:val="00025B32"/>
    <w:rsid w:val="000265BD"/>
    <w:rsid w:val="00030527"/>
    <w:rsid w:val="00031F26"/>
    <w:rsid w:val="00034C5A"/>
    <w:rsid w:val="00037737"/>
    <w:rsid w:val="00037BD8"/>
    <w:rsid w:val="00040AFD"/>
    <w:rsid w:val="000410A9"/>
    <w:rsid w:val="00044287"/>
    <w:rsid w:val="00044560"/>
    <w:rsid w:val="00045411"/>
    <w:rsid w:val="000477FA"/>
    <w:rsid w:val="00050CC6"/>
    <w:rsid w:val="000512BA"/>
    <w:rsid w:val="00051C07"/>
    <w:rsid w:val="00053F92"/>
    <w:rsid w:val="00056A84"/>
    <w:rsid w:val="00066ECB"/>
    <w:rsid w:val="00067315"/>
    <w:rsid w:val="00071289"/>
    <w:rsid w:val="000715BF"/>
    <w:rsid w:val="00071605"/>
    <w:rsid w:val="00071B94"/>
    <w:rsid w:val="00075590"/>
    <w:rsid w:val="0007644F"/>
    <w:rsid w:val="000819AA"/>
    <w:rsid w:val="000848F5"/>
    <w:rsid w:val="00085E9C"/>
    <w:rsid w:val="000900FB"/>
    <w:rsid w:val="0009097A"/>
    <w:rsid w:val="00092A34"/>
    <w:rsid w:val="00094967"/>
    <w:rsid w:val="0009633E"/>
    <w:rsid w:val="00096D15"/>
    <w:rsid w:val="000A0C61"/>
    <w:rsid w:val="000A5C4C"/>
    <w:rsid w:val="000A787B"/>
    <w:rsid w:val="000B1F68"/>
    <w:rsid w:val="000B3667"/>
    <w:rsid w:val="000B5897"/>
    <w:rsid w:val="000B7F1B"/>
    <w:rsid w:val="000C2BC1"/>
    <w:rsid w:val="000C4BED"/>
    <w:rsid w:val="000C5BAC"/>
    <w:rsid w:val="000C5BD4"/>
    <w:rsid w:val="000C6C8A"/>
    <w:rsid w:val="000D0E22"/>
    <w:rsid w:val="000D3567"/>
    <w:rsid w:val="000D40FA"/>
    <w:rsid w:val="000E0399"/>
    <w:rsid w:val="000E21BA"/>
    <w:rsid w:val="000E2D17"/>
    <w:rsid w:val="000E3240"/>
    <w:rsid w:val="000E41D0"/>
    <w:rsid w:val="000E45C1"/>
    <w:rsid w:val="000E56BB"/>
    <w:rsid w:val="000F038D"/>
    <w:rsid w:val="000F13D6"/>
    <w:rsid w:val="000F1D03"/>
    <w:rsid w:val="000F1D63"/>
    <w:rsid w:val="000F2C1D"/>
    <w:rsid w:val="000F4668"/>
    <w:rsid w:val="000F59EA"/>
    <w:rsid w:val="001011E6"/>
    <w:rsid w:val="00106229"/>
    <w:rsid w:val="001106D3"/>
    <w:rsid w:val="00114F94"/>
    <w:rsid w:val="001153A6"/>
    <w:rsid w:val="00120D17"/>
    <w:rsid w:val="00121B4C"/>
    <w:rsid w:val="00121B79"/>
    <w:rsid w:val="00122877"/>
    <w:rsid w:val="00124323"/>
    <w:rsid w:val="00131250"/>
    <w:rsid w:val="0013564D"/>
    <w:rsid w:val="001361FB"/>
    <w:rsid w:val="001363F0"/>
    <w:rsid w:val="0013699B"/>
    <w:rsid w:val="0013773B"/>
    <w:rsid w:val="00143C8A"/>
    <w:rsid w:val="00145728"/>
    <w:rsid w:val="00145F31"/>
    <w:rsid w:val="001548F2"/>
    <w:rsid w:val="0015565F"/>
    <w:rsid w:val="00161BE3"/>
    <w:rsid w:val="00162C59"/>
    <w:rsid w:val="0016698B"/>
    <w:rsid w:val="001678D4"/>
    <w:rsid w:val="00167E32"/>
    <w:rsid w:val="00170B5F"/>
    <w:rsid w:val="00172143"/>
    <w:rsid w:val="0017510D"/>
    <w:rsid w:val="0017569C"/>
    <w:rsid w:val="001756C7"/>
    <w:rsid w:val="00183012"/>
    <w:rsid w:val="0018374F"/>
    <w:rsid w:val="001844EC"/>
    <w:rsid w:val="001859F2"/>
    <w:rsid w:val="00186CFC"/>
    <w:rsid w:val="00187B5E"/>
    <w:rsid w:val="00191D9C"/>
    <w:rsid w:val="001932AE"/>
    <w:rsid w:val="001947C6"/>
    <w:rsid w:val="001955C5"/>
    <w:rsid w:val="00196636"/>
    <w:rsid w:val="00197671"/>
    <w:rsid w:val="00197E64"/>
    <w:rsid w:val="001A09BE"/>
    <w:rsid w:val="001A2CFC"/>
    <w:rsid w:val="001A5990"/>
    <w:rsid w:val="001A6B4E"/>
    <w:rsid w:val="001B0F1B"/>
    <w:rsid w:val="001B0F8C"/>
    <w:rsid w:val="001B2E8E"/>
    <w:rsid w:val="001B4334"/>
    <w:rsid w:val="001B4FAC"/>
    <w:rsid w:val="001B5084"/>
    <w:rsid w:val="001C24C6"/>
    <w:rsid w:val="001C4343"/>
    <w:rsid w:val="001C5CC2"/>
    <w:rsid w:val="001D03C1"/>
    <w:rsid w:val="001D099B"/>
    <w:rsid w:val="001D3AC4"/>
    <w:rsid w:val="001D40A3"/>
    <w:rsid w:val="001D443E"/>
    <w:rsid w:val="001D7032"/>
    <w:rsid w:val="001E0A66"/>
    <w:rsid w:val="001E13B2"/>
    <w:rsid w:val="001E28EE"/>
    <w:rsid w:val="001E7152"/>
    <w:rsid w:val="001E7A96"/>
    <w:rsid w:val="001F017B"/>
    <w:rsid w:val="001F1352"/>
    <w:rsid w:val="001F161D"/>
    <w:rsid w:val="001F2977"/>
    <w:rsid w:val="001F2F6E"/>
    <w:rsid w:val="001F5C91"/>
    <w:rsid w:val="001F6306"/>
    <w:rsid w:val="002005DE"/>
    <w:rsid w:val="0020196E"/>
    <w:rsid w:val="002038C7"/>
    <w:rsid w:val="002058C6"/>
    <w:rsid w:val="00206AB3"/>
    <w:rsid w:val="002078E1"/>
    <w:rsid w:val="0021042E"/>
    <w:rsid w:val="00215431"/>
    <w:rsid w:val="0022011E"/>
    <w:rsid w:val="002211EC"/>
    <w:rsid w:val="002234F6"/>
    <w:rsid w:val="00225C17"/>
    <w:rsid w:val="00225CE9"/>
    <w:rsid w:val="00227130"/>
    <w:rsid w:val="0023171F"/>
    <w:rsid w:val="00232F68"/>
    <w:rsid w:val="00234906"/>
    <w:rsid w:val="0023555E"/>
    <w:rsid w:val="00241615"/>
    <w:rsid w:val="0024211B"/>
    <w:rsid w:val="0024370E"/>
    <w:rsid w:val="002438AF"/>
    <w:rsid w:val="002447CC"/>
    <w:rsid w:val="00244C4D"/>
    <w:rsid w:val="00247331"/>
    <w:rsid w:val="00250784"/>
    <w:rsid w:val="00255305"/>
    <w:rsid w:val="0026030D"/>
    <w:rsid w:val="00260D17"/>
    <w:rsid w:val="0026351A"/>
    <w:rsid w:val="002641F6"/>
    <w:rsid w:val="00266EE4"/>
    <w:rsid w:val="002721EC"/>
    <w:rsid w:val="00272CBF"/>
    <w:rsid w:val="00272D12"/>
    <w:rsid w:val="0027491A"/>
    <w:rsid w:val="002769F8"/>
    <w:rsid w:val="00277D25"/>
    <w:rsid w:val="0028338B"/>
    <w:rsid w:val="0028751F"/>
    <w:rsid w:val="00292458"/>
    <w:rsid w:val="00295CDC"/>
    <w:rsid w:val="0029703D"/>
    <w:rsid w:val="002A24E4"/>
    <w:rsid w:val="002A3342"/>
    <w:rsid w:val="002A36E1"/>
    <w:rsid w:val="002A5B0C"/>
    <w:rsid w:val="002B2ED1"/>
    <w:rsid w:val="002B3331"/>
    <w:rsid w:val="002B3B5F"/>
    <w:rsid w:val="002B6F8E"/>
    <w:rsid w:val="002B77BE"/>
    <w:rsid w:val="002B7E11"/>
    <w:rsid w:val="002C1E18"/>
    <w:rsid w:val="002C3A50"/>
    <w:rsid w:val="002C3C48"/>
    <w:rsid w:val="002C61D6"/>
    <w:rsid w:val="002C64CD"/>
    <w:rsid w:val="002C75F4"/>
    <w:rsid w:val="002D20DF"/>
    <w:rsid w:val="002D341C"/>
    <w:rsid w:val="002D4633"/>
    <w:rsid w:val="002D579F"/>
    <w:rsid w:val="002D7879"/>
    <w:rsid w:val="002D7910"/>
    <w:rsid w:val="002E0F4B"/>
    <w:rsid w:val="002E4E18"/>
    <w:rsid w:val="002E6393"/>
    <w:rsid w:val="002E65B4"/>
    <w:rsid w:val="002F069B"/>
    <w:rsid w:val="002F06D4"/>
    <w:rsid w:val="002F0F80"/>
    <w:rsid w:val="002F2097"/>
    <w:rsid w:val="002F59F5"/>
    <w:rsid w:val="002F5D9E"/>
    <w:rsid w:val="002F69DE"/>
    <w:rsid w:val="002F6EF3"/>
    <w:rsid w:val="002F7FE8"/>
    <w:rsid w:val="00301901"/>
    <w:rsid w:val="003021E2"/>
    <w:rsid w:val="003071ED"/>
    <w:rsid w:val="00312E03"/>
    <w:rsid w:val="0031302A"/>
    <w:rsid w:val="00313DF9"/>
    <w:rsid w:val="00314703"/>
    <w:rsid w:val="0031475B"/>
    <w:rsid w:val="003212C7"/>
    <w:rsid w:val="003221B0"/>
    <w:rsid w:val="00322A6A"/>
    <w:rsid w:val="00326CD0"/>
    <w:rsid w:val="003273C6"/>
    <w:rsid w:val="00327CC6"/>
    <w:rsid w:val="00330258"/>
    <w:rsid w:val="003309B6"/>
    <w:rsid w:val="00331124"/>
    <w:rsid w:val="00331A0A"/>
    <w:rsid w:val="00332560"/>
    <w:rsid w:val="00336908"/>
    <w:rsid w:val="00336CA5"/>
    <w:rsid w:val="00344A6F"/>
    <w:rsid w:val="003464E7"/>
    <w:rsid w:val="00347A98"/>
    <w:rsid w:val="00350DF5"/>
    <w:rsid w:val="00352EA2"/>
    <w:rsid w:val="0035400B"/>
    <w:rsid w:val="00354ABB"/>
    <w:rsid w:val="00360092"/>
    <w:rsid w:val="0036056C"/>
    <w:rsid w:val="00361BFF"/>
    <w:rsid w:val="00361D9D"/>
    <w:rsid w:val="003655B7"/>
    <w:rsid w:val="00365958"/>
    <w:rsid w:val="00366EAC"/>
    <w:rsid w:val="00370EFB"/>
    <w:rsid w:val="00372623"/>
    <w:rsid w:val="00373383"/>
    <w:rsid w:val="00376416"/>
    <w:rsid w:val="0037721D"/>
    <w:rsid w:val="00381669"/>
    <w:rsid w:val="00382EAC"/>
    <w:rsid w:val="003854CC"/>
    <w:rsid w:val="00385573"/>
    <w:rsid w:val="00385B61"/>
    <w:rsid w:val="00385FB1"/>
    <w:rsid w:val="003876FF"/>
    <w:rsid w:val="00390911"/>
    <w:rsid w:val="003911EF"/>
    <w:rsid w:val="00391923"/>
    <w:rsid w:val="003931B2"/>
    <w:rsid w:val="003978D4"/>
    <w:rsid w:val="003A25CE"/>
    <w:rsid w:val="003A407E"/>
    <w:rsid w:val="003A7D7B"/>
    <w:rsid w:val="003B2FB4"/>
    <w:rsid w:val="003B40D8"/>
    <w:rsid w:val="003B4858"/>
    <w:rsid w:val="003B6D43"/>
    <w:rsid w:val="003B7551"/>
    <w:rsid w:val="003C2425"/>
    <w:rsid w:val="003C396C"/>
    <w:rsid w:val="003C65A0"/>
    <w:rsid w:val="003C66E4"/>
    <w:rsid w:val="003C759E"/>
    <w:rsid w:val="003D0062"/>
    <w:rsid w:val="003D2784"/>
    <w:rsid w:val="003D2A86"/>
    <w:rsid w:val="003D385B"/>
    <w:rsid w:val="003D3A2F"/>
    <w:rsid w:val="003D46C7"/>
    <w:rsid w:val="003D685E"/>
    <w:rsid w:val="003E1E25"/>
    <w:rsid w:val="003E201D"/>
    <w:rsid w:val="003E345E"/>
    <w:rsid w:val="003E64D5"/>
    <w:rsid w:val="003E6D08"/>
    <w:rsid w:val="003F0361"/>
    <w:rsid w:val="003F0DB1"/>
    <w:rsid w:val="003F18CA"/>
    <w:rsid w:val="003F2F8D"/>
    <w:rsid w:val="003F5355"/>
    <w:rsid w:val="003F5783"/>
    <w:rsid w:val="003F6C25"/>
    <w:rsid w:val="00402435"/>
    <w:rsid w:val="00402956"/>
    <w:rsid w:val="0040329F"/>
    <w:rsid w:val="00407419"/>
    <w:rsid w:val="004101B5"/>
    <w:rsid w:val="00410237"/>
    <w:rsid w:val="00413420"/>
    <w:rsid w:val="00414E72"/>
    <w:rsid w:val="00415284"/>
    <w:rsid w:val="00416B85"/>
    <w:rsid w:val="00417868"/>
    <w:rsid w:val="0042187C"/>
    <w:rsid w:val="00421E52"/>
    <w:rsid w:val="00424CF4"/>
    <w:rsid w:val="004255A1"/>
    <w:rsid w:val="00427610"/>
    <w:rsid w:val="00433526"/>
    <w:rsid w:val="0043390C"/>
    <w:rsid w:val="00436954"/>
    <w:rsid w:val="0043711D"/>
    <w:rsid w:val="00442BAE"/>
    <w:rsid w:val="004431E1"/>
    <w:rsid w:val="0044444C"/>
    <w:rsid w:val="00446843"/>
    <w:rsid w:val="00447CCF"/>
    <w:rsid w:val="00452670"/>
    <w:rsid w:val="0046241A"/>
    <w:rsid w:val="00462A62"/>
    <w:rsid w:val="004635A6"/>
    <w:rsid w:val="00463B8E"/>
    <w:rsid w:val="00465C76"/>
    <w:rsid w:val="00471D75"/>
    <w:rsid w:val="004722B5"/>
    <w:rsid w:val="00474566"/>
    <w:rsid w:val="00476D42"/>
    <w:rsid w:val="00485179"/>
    <w:rsid w:val="00485742"/>
    <w:rsid w:val="00487B41"/>
    <w:rsid w:val="0049434C"/>
    <w:rsid w:val="004961C6"/>
    <w:rsid w:val="004A3626"/>
    <w:rsid w:val="004A645C"/>
    <w:rsid w:val="004A6DC4"/>
    <w:rsid w:val="004B1278"/>
    <w:rsid w:val="004B3E16"/>
    <w:rsid w:val="004B6284"/>
    <w:rsid w:val="004B678C"/>
    <w:rsid w:val="004B6B8B"/>
    <w:rsid w:val="004C0366"/>
    <w:rsid w:val="004C0E61"/>
    <w:rsid w:val="004C132C"/>
    <w:rsid w:val="004C540E"/>
    <w:rsid w:val="004D275A"/>
    <w:rsid w:val="004D299C"/>
    <w:rsid w:val="004D334D"/>
    <w:rsid w:val="004D707B"/>
    <w:rsid w:val="004E0E9C"/>
    <w:rsid w:val="004E1F2C"/>
    <w:rsid w:val="004E3D3D"/>
    <w:rsid w:val="004E4B17"/>
    <w:rsid w:val="004E5983"/>
    <w:rsid w:val="004F0120"/>
    <w:rsid w:val="004F5A32"/>
    <w:rsid w:val="004F6F56"/>
    <w:rsid w:val="00506B89"/>
    <w:rsid w:val="00506C51"/>
    <w:rsid w:val="00510BB5"/>
    <w:rsid w:val="005119EB"/>
    <w:rsid w:val="00517BBE"/>
    <w:rsid w:val="005213F0"/>
    <w:rsid w:val="00523011"/>
    <w:rsid w:val="005246ED"/>
    <w:rsid w:val="005255D0"/>
    <w:rsid w:val="00525792"/>
    <w:rsid w:val="005305A3"/>
    <w:rsid w:val="00531329"/>
    <w:rsid w:val="00531385"/>
    <w:rsid w:val="0053619C"/>
    <w:rsid w:val="005414E8"/>
    <w:rsid w:val="00543F44"/>
    <w:rsid w:val="005460A0"/>
    <w:rsid w:val="0054676C"/>
    <w:rsid w:val="005500BB"/>
    <w:rsid w:val="005525B6"/>
    <w:rsid w:val="005540EB"/>
    <w:rsid w:val="005549D2"/>
    <w:rsid w:val="00556DCE"/>
    <w:rsid w:val="0056156D"/>
    <w:rsid w:val="0056236F"/>
    <w:rsid w:val="005625B1"/>
    <w:rsid w:val="00562638"/>
    <w:rsid w:val="00563D42"/>
    <w:rsid w:val="00563DD4"/>
    <w:rsid w:val="005644B4"/>
    <w:rsid w:val="0056593C"/>
    <w:rsid w:val="00565B66"/>
    <w:rsid w:val="00566D34"/>
    <w:rsid w:val="0056775F"/>
    <w:rsid w:val="00571C6E"/>
    <w:rsid w:val="00574F93"/>
    <w:rsid w:val="0057785A"/>
    <w:rsid w:val="00581457"/>
    <w:rsid w:val="00581F4F"/>
    <w:rsid w:val="00583896"/>
    <w:rsid w:val="00583C39"/>
    <w:rsid w:val="00585A17"/>
    <w:rsid w:val="005952D0"/>
    <w:rsid w:val="005A1481"/>
    <w:rsid w:val="005A18D2"/>
    <w:rsid w:val="005A2A40"/>
    <w:rsid w:val="005A2EF5"/>
    <w:rsid w:val="005A31D9"/>
    <w:rsid w:val="005A6107"/>
    <w:rsid w:val="005B2C2C"/>
    <w:rsid w:val="005B3A3C"/>
    <w:rsid w:val="005B6CC3"/>
    <w:rsid w:val="005C29D5"/>
    <w:rsid w:val="005C5747"/>
    <w:rsid w:val="005C648D"/>
    <w:rsid w:val="005C6F41"/>
    <w:rsid w:val="005D0B46"/>
    <w:rsid w:val="005D1BCF"/>
    <w:rsid w:val="005D292D"/>
    <w:rsid w:val="005D4399"/>
    <w:rsid w:val="005D44E3"/>
    <w:rsid w:val="005D53B4"/>
    <w:rsid w:val="005D57DB"/>
    <w:rsid w:val="005D5969"/>
    <w:rsid w:val="005D7A82"/>
    <w:rsid w:val="005F1B29"/>
    <w:rsid w:val="005F49A6"/>
    <w:rsid w:val="005F557D"/>
    <w:rsid w:val="006042A0"/>
    <w:rsid w:val="00604B2A"/>
    <w:rsid w:val="00605F00"/>
    <w:rsid w:val="00610569"/>
    <w:rsid w:val="00611175"/>
    <w:rsid w:val="00611722"/>
    <w:rsid w:val="00614385"/>
    <w:rsid w:val="006164F2"/>
    <w:rsid w:val="00617E7A"/>
    <w:rsid w:val="00620C33"/>
    <w:rsid w:val="006211B9"/>
    <w:rsid w:val="0062164A"/>
    <w:rsid w:val="00626367"/>
    <w:rsid w:val="00630B55"/>
    <w:rsid w:val="00632035"/>
    <w:rsid w:val="00640437"/>
    <w:rsid w:val="006436DB"/>
    <w:rsid w:val="006446CA"/>
    <w:rsid w:val="0065048C"/>
    <w:rsid w:val="006508F1"/>
    <w:rsid w:val="00651408"/>
    <w:rsid w:val="00652D55"/>
    <w:rsid w:val="00652E6C"/>
    <w:rsid w:val="00653C55"/>
    <w:rsid w:val="00653C81"/>
    <w:rsid w:val="006545E2"/>
    <w:rsid w:val="0065490A"/>
    <w:rsid w:val="006557D9"/>
    <w:rsid w:val="00656EDA"/>
    <w:rsid w:val="006571AB"/>
    <w:rsid w:val="00657716"/>
    <w:rsid w:val="00671852"/>
    <w:rsid w:val="00671973"/>
    <w:rsid w:val="00672384"/>
    <w:rsid w:val="00676A3E"/>
    <w:rsid w:val="00680950"/>
    <w:rsid w:val="00680EF2"/>
    <w:rsid w:val="006843EA"/>
    <w:rsid w:val="00684CE3"/>
    <w:rsid w:val="00687D88"/>
    <w:rsid w:val="00696079"/>
    <w:rsid w:val="00696121"/>
    <w:rsid w:val="0069624C"/>
    <w:rsid w:val="006A1DB9"/>
    <w:rsid w:val="006A279A"/>
    <w:rsid w:val="006A6C13"/>
    <w:rsid w:val="006B43C0"/>
    <w:rsid w:val="006B48A2"/>
    <w:rsid w:val="006B5937"/>
    <w:rsid w:val="006B5B86"/>
    <w:rsid w:val="006B67AB"/>
    <w:rsid w:val="006B7472"/>
    <w:rsid w:val="006C1256"/>
    <w:rsid w:val="006C2276"/>
    <w:rsid w:val="006C6CCC"/>
    <w:rsid w:val="006D030D"/>
    <w:rsid w:val="006D2FEB"/>
    <w:rsid w:val="006D5892"/>
    <w:rsid w:val="006D6729"/>
    <w:rsid w:val="006E19CB"/>
    <w:rsid w:val="006E3D6A"/>
    <w:rsid w:val="006E738E"/>
    <w:rsid w:val="006F2738"/>
    <w:rsid w:val="006F5EB4"/>
    <w:rsid w:val="006F78BD"/>
    <w:rsid w:val="007015D8"/>
    <w:rsid w:val="0070322F"/>
    <w:rsid w:val="007053EB"/>
    <w:rsid w:val="00705A40"/>
    <w:rsid w:val="00710382"/>
    <w:rsid w:val="007152D6"/>
    <w:rsid w:val="007154F5"/>
    <w:rsid w:val="00715692"/>
    <w:rsid w:val="00716799"/>
    <w:rsid w:val="007175F5"/>
    <w:rsid w:val="007176AB"/>
    <w:rsid w:val="00722336"/>
    <w:rsid w:val="00723F3B"/>
    <w:rsid w:val="00726058"/>
    <w:rsid w:val="00726D0C"/>
    <w:rsid w:val="007279A6"/>
    <w:rsid w:val="00727E2A"/>
    <w:rsid w:val="00735A71"/>
    <w:rsid w:val="007406EF"/>
    <w:rsid w:val="00743CFB"/>
    <w:rsid w:val="00743FDF"/>
    <w:rsid w:val="00745199"/>
    <w:rsid w:val="007456DB"/>
    <w:rsid w:val="00745AFF"/>
    <w:rsid w:val="00747449"/>
    <w:rsid w:val="00747CD1"/>
    <w:rsid w:val="00751459"/>
    <w:rsid w:val="007527AF"/>
    <w:rsid w:val="00755613"/>
    <w:rsid w:val="007560C9"/>
    <w:rsid w:val="00756BFD"/>
    <w:rsid w:val="00756CB8"/>
    <w:rsid w:val="0076043F"/>
    <w:rsid w:val="00760E36"/>
    <w:rsid w:val="00762BD9"/>
    <w:rsid w:val="007645EA"/>
    <w:rsid w:val="007666E3"/>
    <w:rsid w:val="007678C3"/>
    <w:rsid w:val="0077075E"/>
    <w:rsid w:val="007707A3"/>
    <w:rsid w:val="00773A2C"/>
    <w:rsid w:val="007777A2"/>
    <w:rsid w:val="00782DB1"/>
    <w:rsid w:val="007845AA"/>
    <w:rsid w:val="007846B5"/>
    <w:rsid w:val="00786B05"/>
    <w:rsid w:val="00786DFB"/>
    <w:rsid w:val="0079001F"/>
    <w:rsid w:val="00790865"/>
    <w:rsid w:val="007913A9"/>
    <w:rsid w:val="007917E7"/>
    <w:rsid w:val="00793EC1"/>
    <w:rsid w:val="007943B4"/>
    <w:rsid w:val="00795C02"/>
    <w:rsid w:val="00796376"/>
    <w:rsid w:val="0079690F"/>
    <w:rsid w:val="007A0482"/>
    <w:rsid w:val="007A21F0"/>
    <w:rsid w:val="007A22B2"/>
    <w:rsid w:val="007A23E6"/>
    <w:rsid w:val="007A3BB7"/>
    <w:rsid w:val="007A3CA3"/>
    <w:rsid w:val="007A4F3D"/>
    <w:rsid w:val="007B0A2B"/>
    <w:rsid w:val="007B17C5"/>
    <w:rsid w:val="007B3764"/>
    <w:rsid w:val="007B3938"/>
    <w:rsid w:val="007B3B28"/>
    <w:rsid w:val="007B54BC"/>
    <w:rsid w:val="007B6D9D"/>
    <w:rsid w:val="007C23F6"/>
    <w:rsid w:val="007C59F0"/>
    <w:rsid w:val="007D2DE1"/>
    <w:rsid w:val="007D5647"/>
    <w:rsid w:val="007D629D"/>
    <w:rsid w:val="007E25DC"/>
    <w:rsid w:val="007E5744"/>
    <w:rsid w:val="007F255F"/>
    <w:rsid w:val="007F29FC"/>
    <w:rsid w:val="007F2BFA"/>
    <w:rsid w:val="007F2C32"/>
    <w:rsid w:val="007F4565"/>
    <w:rsid w:val="007F628F"/>
    <w:rsid w:val="007F7BD7"/>
    <w:rsid w:val="00803679"/>
    <w:rsid w:val="00803C90"/>
    <w:rsid w:val="00804394"/>
    <w:rsid w:val="00806219"/>
    <w:rsid w:val="008074C3"/>
    <w:rsid w:val="00807ECA"/>
    <w:rsid w:val="0081039D"/>
    <w:rsid w:val="00810950"/>
    <w:rsid w:val="008156A0"/>
    <w:rsid w:val="0081647B"/>
    <w:rsid w:val="00817E05"/>
    <w:rsid w:val="0082164F"/>
    <w:rsid w:val="0082232E"/>
    <w:rsid w:val="00824919"/>
    <w:rsid w:val="00827C44"/>
    <w:rsid w:val="00832A3D"/>
    <w:rsid w:val="0083796C"/>
    <w:rsid w:val="00837DDE"/>
    <w:rsid w:val="0084287A"/>
    <w:rsid w:val="00843057"/>
    <w:rsid w:val="00843569"/>
    <w:rsid w:val="00845FA2"/>
    <w:rsid w:val="008525C8"/>
    <w:rsid w:val="008526C1"/>
    <w:rsid w:val="00854ACA"/>
    <w:rsid w:val="00855B07"/>
    <w:rsid w:val="00855E96"/>
    <w:rsid w:val="008570BD"/>
    <w:rsid w:val="00863994"/>
    <w:rsid w:val="008675C0"/>
    <w:rsid w:val="00871C5C"/>
    <w:rsid w:val="00873771"/>
    <w:rsid w:val="00875313"/>
    <w:rsid w:val="00875700"/>
    <w:rsid w:val="0088477C"/>
    <w:rsid w:val="00884DE6"/>
    <w:rsid w:val="0088637C"/>
    <w:rsid w:val="00890642"/>
    <w:rsid w:val="0089113D"/>
    <w:rsid w:val="00891201"/>
    <w:rsid w:val="00895D77"/>
    <w:rsid w:val="008A1C4A"/>
    <w:rsid w:val="008A3128"/>
    <w:rsid w:val="008A5FDC"/>
    <w:rsid w:val="008B25AB"/>
    <w:rsid w:val="008B5494"/>
    <w:rsid w:val="008B5761"/>
    <w:rsid w:val="008C09D9"/>
    <w:rsid w:val="008C2630"/>
    <w:rsid w:val="008C2973"/>
    <w:rsid w:val="008C3FF9"/>
    <w:rsid w:val="008C5CEB"/>
    <w:rsid w:val="008C6565"/>
    <w:rsid w:val="008C6EC0"/>
    <w:rsid w:val="008D2608"/>
    <w:rsid w:val="008D2935"/>
    <w:rsid w:val="008D415A"/>
    <w:rsid w:val="008D541E"/>
    <w:rsid w:val="008D7F0D"/>
    <w:rsid w:val="008E13F1"/>
    <w:rsid w:val="008E2330"/>
    <w:rsid w:val="008E453E"/>
    <w:rsid w:val="008F0DE2"/>
    <w:rsid w:val="008F1A88"/>
    <w:rsid w:val="008F4756"/>
    <w:rsid w:val="008F7991"/>
    <w:rsid w:val="00900A83"/>
    <w:rsid w:val="00907F5A"/>
    <w:rsid w:val="0091192D"/>
    <w:rsid w:val="00913E42"/>
    <w:rsid w:val="00914807"/>
    <w:rsid w:val="00914A5D"/>
    <w:rsid w:val="00916A19"/>
    <w:rsid w:val="00916A73"/>
    <w:rsid w:val="00916EA3"/>
    <w:rsid w:val="00925CF5"/>
    <w:rsid w:val="009260B0"/>
    <w:rsid w:val="00930858"/>
    <w:rsid w:val="0093087A"/>
    <w:rsid w:val="00931320"/>
    <w:rsid w:val="0093198D"/>
    <w:rsid w:val="00931FE0"/>
    <w:rsid w:val="00932AB2"/>
    <w:rsid w:val="009364E0"/>
    <w:rsid w:val="00936648"/>
    <w:rsid w:val="009403B3"/>
    <w:rsid w:val="009408C7"/>
    <w:rsid w:val="009440CD"/>
    <w:rsid w:val="00947F31"/>
    <w:rsid w:val="00950A4D"/>
    <w:rsid w:val="00955B18"/>
    <w:rsid w:val="009576CD"/>
    <w:rsid w:val="00970F3E"/>
    <w:rsid w:val="00973D15"/>
    <w:rsid w:val="00975977"/>
    <w:rsid w:val="00976035"/>
    <w:rsid w:val="00976232"/>
    <w:rsid w:val="0098130A"/>
    <w:rsid w:val="0098357B"/>
    <w:rsid w:val="0098507B"/>
    <w:rsid w:val="00985B62"/>
    <w:rsid w:val="00987C14"/>
    <w:rsid w:val="00991E44"/>
    <w:rsid w:val="00996964"/>
    <w:rsid w:val="009970DD"/>
    <w:rsid w:val="00997E91"/>
    <w:rsid w:val="009A0437"/>
    <w:rsid w:val="009A1625"/>
    <w:rsid w:val="009A3C00"/>
    <w:rsid w:val="009A7DBF"/>
    <w:rsid w:val="009B4128"/>
    <w:rsid w:val="009B7AF2"/>
    <w:rsid w:val="009C063D"/>
    <w:rsid w:val="009C3E4F"/>
    <w:rsid w:val="009C5C15"/>
    <w:rsid w:val="009C5C3A"/>
    <w:rsid w:val="009D1ACE"/>
    <w:rsid w:val="009D25E4"/>
    <w:rsid w:val="009D4097"/>
    <w:rsid w:val="009E1838"/>
    <w:rsid w:val="009E253E"/>
    <w:rsid w:val="009E3F6E"/>
    <w:rsid w:val="009F0AD8"/>
    <w:rsid w:val="009F314D"/>
    <w:rsid w:val="009F7507"/>
    <w:rsid w:val="00A00476"/>
    <w:rsid w:val="00A04786"/>
    <w:rsid w:val="00A04BA8"/>
    <w:rsid w:val="00A069FE"/>
    <w:rsid w:val="00A06F4F"/>
    <w:rsid w:val="00A07F48"/>
    <w:rsid w:val="00A10F6A"/>
    <w:rsid w:val="00A12EA6"/>
    <w:rsid w:val="00A170C4"/>
    <w:rsid w:val="00A171DB"/>
    <w:rsid w:val="00A17999"/>
    <w:rsid w:val="00A17C25"/>
    <w:rsid w:val="00A21103"/>
    <w:rsid w:val="00A22CD0"/>
    <w:rsid w:val="00A24235"/>
    <w:rsid w:val="00A25966"/>
    <w:rsid w:val="00A267F9"/>
    <w:rsid w:val="00A26FA2"/>
    <w:rsid w:val="00A303B8"/>
    <w:rsid w:val="00A36D32"/>
    <w:rsid w:val="00A375BA"/>
    <w:rsid w:val="00A402FA"/>
    <w:rsid w:val="00A44060"/>
    <w:rsid w:val="00A4458C"/>
    <w:rsid w:val="00A50459"/>
    <w:rsid w:val="00A51193"/>
    <w:rsid w:val="00A51F97"/>
    <w:rsid w:val="00A55FDF"/>
    <w:rsid w:val="00A616B3"/>
    <w:rsid w:val="00A62830"/>
    <w:rsid w:val="00A634C4"/>
    <w:rsid w:val="00A6648D"/>
    <w:rsid w:val="00A70C13"/>
    <w:rsid w:val="00A71FCA"/>
    <w:rsid w:val="00A72BF5"/>
    <w:rsid w:val="00A765D5"/>
    <w:rsid w:val="00A8338E"/>
    <w:rsid w:val="00A83F65"/>
    <w:rsid w:val="00A903D6"/>
    <w:rsid w:val="00A90596"/>
    <w:rsid w:val="00A96E11"/>
    <w:rsid w:val="00AA0BBD"/>
    <w:rsid w:val="00AA0D4A"/>
    <w:rsid w:val="00AA1B16"/>
    <w:rsid w:val="00AA3166"/>
    <w:rsid w:val="00AA36C6"/>
    <w:rsid w:val="00AA36D7"/>
    <w:rsid w:val="00AA379D"/>
    <w:rsid w:val="00AA50E7"/>
    <w:rsid w:val="00AB19BD"/>
    <w:rsid w:val="00AB2069"/>
    <w:rsid w:val="00AB739F"/>
    <w:rsid w:val="00AC2117"/>
    <w:rsid w:val="00AC2766"/>
    <w:rsid w:val="00AC29DB"/>
    <w:rsid w:val="00AC2B0A"/>
    <w:rsid w:val="00AC6687"/>
    <w:rsid w:val="00AC67F2"/>
    <w:rsid w:val="00AD3100"/>
    <w:rsid w:val="00AD3C63"/>
    <w:rsid w:val="00AD42F1"/>
    <w:rsid w:val="00AD462E"/>
    <w:rsid w:val="00AD5D63"/>
    <w:rsid w:val="00AD71C5"/>
    <w:rsid w:val="00AE1454"/>
    <w:rsid w:val="00AE5D96"/>
    <w:rsid w:val="00AE6F74"/>
    <w:rsid w:val="00AE7BD7"/>
    <w:rsid w:val="00AF7276"/>
    <w:rsid w:val="00AF757F"/>
    <w:rsid w:val="00AF7D7B"/>
    <w:rsid w:val="00B12B7E"/>
    <w:rsid w:val="00B16560"/>
    <w:rsid w:val="00B17C89"/>
    <w:rsid w:val="00B23DEB"/>
    <w:rsid w:val="00B2429E"/>
    <w:rsid w:val="00B259A9"/>
    <w:rsid w:val="00B25CAE"/>
    <w:rsid w:val="00B265E8"/>
    <w:rsid w:val="00B26AE2"/>
    <w:rsid w:val="00B26CC1"/>
    <w:rsid w:val="00B271DC"/>
    <w:rsid w:val="00B325A8"/>
    <w:rsid w:val="00B32964"/>
    <w:rsid w:val="00B32B75"/>
    <w:rsid w:val="00B33144"/>
    <w:rsid w:val="00B40F9A"/>
    <w:rsid w:val="00B432D0"/>
    <w:rsid w:val="00B4651F"/>
    <w:rsid w:val="00B54C08"/>
    <w:rsid w:val="00B6117E"/>
    <w:rsid w:val="00B63338"/>
    <w:rsid w:val="00B63EA1"/>
    <w:rsid w:val="00B6432B"/>
    <w:rsid w:val="00B661E2"/>
    <w:rsid w:val="00B66C24"/>
    <w:rsid w:val="00B66D41"/>
    <w:rsid w:val="00B66F95"/>
    <w:rsid w:val="00B72C77"/>
    <w:rsid w:val="00B7445F"/>
    <w:rsid w:val="00B74BD6"/>
    <w:rsid w:val="00B7682B"/>
    <w:rsid w:val="00B76DA0"/>
    <w:rsid w:val="00B80119"/>
    <w:rsid w:val="00B80482"/>
    <w:rsid w:val="00B82E2D"/>
    <w:rsid w:val="00B83056"/>
    <w:rsid w:val="00B83F03"/>
    <w:rsid w:val="00B84036"/>
    <w:rsid w:val="00B84F32"/>
    <w:rsid w:val="00B8685B"/>
    <w:rsid w:val="00B86C77"/>
    <w:rsid w:val="00B92D1D"/>
    <w:rsid w:val="00B9510C"/>
    <w:rsid w:val="00B9587D"/>
    <w:rsid w:val="00B97807"/>
    <w:rsid w:val="00B97E9A"/>
    <w:rsid w:val="00BA733E"/>
    <w:rsid w:val="00BB1878"/>
    <w:rsid w:val="00BB196E"/>
    <w:rsid w:val="00BB5476"/>
    <w:rsid w:val="00BC026F"/>
    <w:rsid w:val="00BC0DC4"/>
    <w:rsid w:val="00BC1098"/>
    <w:rsid w:val="00BC1EAC"/>
    <w:rsid w:val="00BC470B"/>
    <w:rsid w:val="00BD1D2C"/>
    <w:rsid w:val="00BD29A7"/>
    <w:rsid w:val="00BE2065"/>
    <w:rsid w:val="00BE35B1"/>
    <w:rsid w:val="00BE5CC7"/>
    <w:rsid w:val="00BE60C3"/>
    <w:rsid w:val="00BE6A1C"/>
    <w:rsid w:val="00BF36E5"/>
    <w:rsid w:val="00BF5E71"/>
    <w:rsid w:val="00BF66B6"/>
    <w:rsid w:val="00BF75F9"/>
    <w:rsid w:val="00BF7CD4"/>
    <w:rsid w:val="00C0377A"/>
    <w:rsid w:val="00C11C4D"/>
    <w:rsid w:val="00C12813"/>
    <w:rsid w:val="00C129D0"/>
    <w:rsid w:val="00C14357"/>
    <w:rsid w:val="00C1544E"/>
    <w:rsid w:val="00C15C84"/>
    <w:rsid w:val="00C16226"/>
    <w:rsid w:val="00C22829"/>
    <w:rsid w:val="00C229EB"/>
    <w:rsid w:val="00C23C8F"/>
    <w:rsid w:val="00C279D6"/>
    <w:rsid w:val="00C3222C"/>
    <w:rsid w:val="00C357D8"/>
    <w:rsid w:val="00C361B3"/>
    <w:rsid w:val="00C369FF"/>
    <w:rsid w:val="00C407C8"/>
    <w:rsid w:val="00C43BF9"/>
    <w:rsid w:val="00C453E6"/>
    <w:rsid w:val="00C45D03"/>
    <w:rsid w:val="00C45DF4"/>
    <w:rsid w:val="00C55AE6"/>
    <w:rsid w:val="00C56784"/>
    <w:rsid w:val="00C56B04"/>
    <w:rsid w:val="00C61F19"/>
    <w:rsid w:val="00C637CB"/>
    <w:rsid w:val="00C639B4"/>
    <w:rsid w:val="00C64AB7"/>
    <w:rsid w:val="00C65500"/>
    <w:rsid w:val="00C66462"/>
    <w:rsid w:val="00C67827"/>
    <w:rsid w:val="00C71046"/>
    <w:rsid w:val="00C72D31"/>
    <w:rsid w:val="00C81BAE"/>
    <w:rsid w:val="00C8242F"/>
    <w:rsid w:val="00C831A9"/>
    <w:rsid w:val="00C83990"/>
    <w:rsid w:val="00C8400A"/>
    <w:rsid w:val="00C848E6"/>
    <w:rsid w:val="00C8503D"/>
    <w:rsid w:val="00C8511B"/>
    <w:rsid w:val="00C8523C"/>
    <w:rsid w:val="00C85590"/>
    <w:rsid w:val="00C863F6"/>
    <w:rsid w:val="00C86852"/>
    <w:rsid w:val="00C906A3"/>
    <w:rsid w:val="00C928DD"/>
    <w:rsid w:val="00C92B98"/>
    <w:rsid w:val="00C931D7"/>
    <w:rsid w:val="00C93B9E"/>
    <w:rsid w:val="00CA2DF5"/>
    <w:rsid w:val="00CA33A1"/>
    <w:rsid w:val="00CA5886"/>
    <w:rsid w:val="00CB0E74"/>
    <w:rsid w:val="00CB130F"/>
    <w:rsid w:val="00CB1B79"/>
    <w:rsid w:val="00CB27EA"/>
    <w:rsid w:val="00CB3207"/>
    <w:rsid w:val="00CB3860"/>
    <w:rsid w:val="00CB4B59"/>
    <w:rsid w:val="00CB5851"/>
    <w:rsid w:val="00CB79C8"/>
    <w:rsid w:val="00CC1805"/>
    <w:rsid w:val="00CC7B64"/>
    <w:rsid w:val="00CD0A14"/>
    <w:rsid w:val="00CD38D5"/>
    <w:rsid w:val="00CD68AD"/>
    <w:rsid w:val="00CE0197"/>
    <w:rsid w:val="00CE414C"/>
    <w:rsid w:val="00CE4259"/>
    <w:rsid w:val="00CE558B"/>
    <w:rsid w:val="00CE6C89"/>
    <w:rsid w:val="00CE778F"/>
    <w:rsid w:val="00CF0ABD"/>
    <w:rsid w:val="00CF2776"/>
    <w:rsid w:val="00CF30D5"/>
    <w:rsid w:val="00CF45CB"/>
    <w:rsid w:val="00D0401F"/>
    <w:rsid w:val="00D059B3"/>
    <w:rsid w:val="00D10258"/>
    <w:rsid w:val="00D12ADE"/>
    <w:rsid w:val="00D1438A"/>
    <w:rsid w:val="00D15A19"/>
    <w:rsid w:val="00D16527"/>
    <w:rsid w:val="00D21088"/>
    <w:rsid w:val="00D272E4"/>
    <w:rsid w:val="00D32891"/>
    <w:rsid w:val="00D34BBA"/>
    <w:rsid w:val="00D34FC5"/>
    <w:rsid w:val="00D37385"/>
    <w:rsid w:val="00D3743F"/>
    <w:rsid w:val="00D40AA5"/>
    <w:rsid w:val="00D425BC"/>
    <w:rsid w:val="00D430F5"/>
    <w:rsid w:val="00D45DC6"/>
    <w:rsid w:val="00D506D8"/>
    <w:rsid w:val="00D51C8B"/>
    <w:rsid w:val="00D521EC"/>
    <w:rsid w:val="00D5787E"/>
    <w:rsid w:val="00D60FA5"/>
    <w:rsid w:val="00D613CD"/>
    <w:rsid w:val="00D61BB3"/>
    <w:rsid w:val="00D67B8F"/>
    <w:rsid w:val="00D708AA"/>
    <w:rsid w:val="00D71BC0"/>
    <w:rsid w:val="00D72589"/>
    <w:rsid w:val="00D7308C"/>
    <w:rsid w:val="00D73633"/>
    <w:rsid w:val="00D7393D"/>
    <w:rsid w:val="00D76B7C"/>
    <w:rsid w:val="00D77498"/>
    <w:rsid w:val="00D865BC"/>
    <w:rsid w:val="00D879A8"/>
    <w:rsid w:val="00D9158B"/>
    <w:rsid w:val="00D93367"/>
    <w:rsid w:val="00DA0862"/>
    <w:rsid w:val="00DA1BAC"/>
    <w:rsid w:val="00DA2691"/>
    <w:rsid w:val="00DA5A7B"/>
    <w:rsid w:val="00DB0B2F"/>
    <w:rsid w:val="00DB1F3A"/>
    <w:rsid w:val="00DB2785"/>
    <w:rsid w:val="00DB642D"/>
    <w:rsid w:val="00DB78FA"/>
    <w:rsid w:val="00DC1DC7"/>
    <w:rsid w:val="00DD2935"/>
    <w:rsid w:val="00DD30FD"/>
    <w:rsid w:val="00DD314F"/>
    <w:rsid w:val="00DD3B33"/>
    <w:rsid w:val="00DE036B"/>
    <w:rsid w:val="00DE14D7"/>
    <w:rsid w:val="00DE2CEC"/>
    <w:rsid w:val="00DE4879"/>
    <w:rsid w:val="00DF0EDE"/>
    <w:rsid w:val="00DF375D"/>
    <w:rsid w:val="00DF5C73"/>
    <w:rsid w:val="00DF6A28"/>
    <w:rsid w:val="00DF746C"/>
    <w:rsid w:val="00DF7C38"/>
    <w:rsid w:val="00E0054C"/>
    <w:rsid w:val="00E024A2"/>
    <w:rsid w:val="00E0730C"/>
    <w:rsid w:val="00E10E0E"/>
    <w:rsid w:val="00E12A7E"/>
    <w:rsid w:val="00E137E9"/>
    <w:rsid w:val="00E21069"/>
    <w:rsid w:val="00E22397"/>
    <w:rsid w:val="00E23916"/>
    <w:rsid w:val="00E26483"/>
    <w:rsid w:val="00E30438"/>
    <w:rsid w:val="00E327BA"/>
    <w:rsid w:val="00E32B66"/>
    <w:rsid w:val="00E34273"/>
    <w:rsid w:val="00E37B83"/>
    <w:rsid w:val="00E4262B"/>
    <w:rsid w:val="00E44E82"/>
    <w:rsid w:val="00E45733"/>
    <w:rsid w:val="00E45849"/>
    <w:rsid w:val="00E506FC"/>
    <w:rsid w:val="00E507D0"/>
    <w:rsid w:val="00E51CC1"/>
    <w:rsid w:val="00E52ADF"/>
    <w:rsid w:val="00E53D03"/>
    <w:rsid w:val="00E577EA"/>
    <w:rsid w:val="00E57ACD"/>
    <w:rsid w:val="00E6027E"/>
    <w:rsid w:val="00E6415E"/>
    <w:rsid w:val="00E65401"/>
    <w:rsid w:val="00E66652"/>
    <w:rsid w:val="00E72548"/>
    <w:rsid w:val="00E76238"/>
    <w:rsid w:val="00E76C83"/>
    <w:rsid w:val="00E80027"/>
    <w:rsid w:val="00E80AF4"/>
    <w:rsid w:val="00E8127C"/>
    <w:rsid w:val="00E85C78"/>
    <w:rsid w:val="00E90928"/>
    <w:rsid w:val="00E916D8"/>
    <w:rsid w:val="00E92905"/>
    <w:rsid w:val="00E92F59"/>
    <w:rsid w:val="00E9354F"/>
    <w:rsid w:val="00E93596"/>
    <w:rsid w:val="00E97476"/>
    <w:rsid w:val="00E974E9"/>
    <w:rsid w:val="00EA0109"/>
    <w:rsid w:val="00EA0C83"/>
    <w:rsid w:val="00EA1C36"/>
    <w:rsid w:val="00EA24B9"/>
    <w:rsid w:val="00EA2C6C"/>
    <w:rsid w:val="00EA3F5C"/>
    <w:rsid w:val="00EA6DF9"/>
    <w:rsid w:val="00EA7261"/>
    <w:rsid w:val="00EA7D7B"/>
    <w:rsid w:val="00EB26F2"/>
    <w:rsid w:val="00EB40F3"/>
    <w:rsid w:val="00EB4C04"/>
    <w:rsid w:val="00EB584E"/>
    <w:rsid w:val="00EB6A5F"/>
    <w:rsid w:val="00EC0B39"/>
    <w:rsid w:val="00EC1E29"/>
    <w:rsid w:val="00EC1F47"/>
    <w:rsid w:val="00EC518C"/>
    <w:rsid w:val="00ED0ACD"/>
    <w:rsid w:val="00ED1674"/>
    <w:rsid w:val="00ED1E98"/>
    <w:rsid w:val="00ED1FA9"/>
    <w:rsid w:val="00ED291A"/>
    <w:rsid w:val="00ED3CA7"/>
    <w:rsid w:val="00ED4AD5"/>
    <w:rsid w:val="00EE12BF"/>
    <w:rsid w:val="00EE45E8"/>
    <w:rsid w:val="00EE6605"/>
    <w:rsid w:val="00EE7AE7"/>
    <w:rsid w:val="00EF1860"/>
    <w:rsid w:val="00EF4F4A"/>
    <w:rsid w:val="00EF786E"/>
    <w:rsid w:val="00EF7F69"/>
    <w:rsid w:val="00F03553"/>
    <w:rsid w:val="00F037AC"/>
    <w:rsid w:val="00F0405F"/>
    <w:rsid w:val="00F07040"/>
    <w:rsid w:val="00F076DF"/>
    <w:rsid w:val="00F104F9"/>
    <w:rsid w:val="00F1109C"/>
    <w:rsid w:val="00F17BD3"/>
    <w:rsid w:val="00F2327F"/>
    <w:rsid w:val="00F233D4"/>
    <w:rsid w:val="00F2376A"/>
    <w:rsid w:val="00F23921"/>
    <w:rsid w:val="00F30742"/>
    <w:rsid w:val="00F32B5B"/>
    <w:rsid w:val="00F32D3A"/>
    <w:rsid w:val="00F36616"/>
    <w:rsid w:val="00F40C9B"/>
    <w:rsid w:val="00F42959"/>
    <w:rsid w:val="00F44024"/>
    <w:rsid w:val="00F45550"/>
    <w:rsid w:val="00F47133"/>
    <w:rsid w:val="00F5100D"/>
    <w:rsid w:val="00F511B3"/>
    <w:rsid w:val="00F51553"/>
    <w:rsid w:val="00F51958"/>
    <w:rsid w:val="00F56B76"/>
    <w:rsid w:val="00F602B8"/>
    <w:rsid w:val="00F639DF"/>
    <w:rsid w:val="00F64932"/>
    <w:rsid w:val="00F651EE"/>
    <w:rsid w:val="00F65568"/>
    <w:rsid w:val="00F6559E"/>
    <w:rsid w:val="00F65CEF"/>
    <w:rsid w:val="00F73B15"/>
    <w:rsid w:val="00F75478"/>
    <w:rsid w:val="00F75992"/>
    <w:rsid w:val="00F75EE7"/>
    <w:rsid w:val="00F809C9"/>
    <w:rsid w:val="00F81980"/>
    <w:rsid w:val="00F81D1E"/>
    <w:rsid w:val="00F82568"/>
    <w:rsid w:val="00F846FB"/>
    <w:rsid w:val="00F937C4"/>
    <w:rsid w:val="00F943BC"/>
    <w:rsid w:val="00F94F8F"/>
    <w:rsid w:val="00F95049"/>
    <w:rsid w:val="00F95165"/>
    <w:rsid w:val="00F966A1"/>
    <w:rsid w:val="00F96F80"/>
    <w:rsid w:val="00FA271E"/>
    <w:rsid w:val="00FA4DD6"/>
    <w:rsid w:val="00FA4E8A"/>
    <w:rsid w:val="00FA5BCF"/>
    <w:rsid w:val="00FA62D2"/>
    <w:rsid w:val="00FA6410"/>
    <w:rsid w:val="00FA64A3"/>
    <w:rsid w:val="00FA6B06"/>
    <w:rsid w:val="00FA6E8D"/>
    <w:rsid w:val="00FB4F21"/>
    <w:rsid w:val="00FC0E74"/>
    <w:rsid w:val="00FC0FAE"/>
    <w:rsid w:val="00FC3232"/>
    <w:rsid w:val="00FC7253"/>
    <w:rsid w:val="00FC7A6D"/>
    <w:rsid w:val="00FD4118"/>
    <w:rsid w:val="00FD4457"/>
    <w:rsid w:val="00FD61A9"/>
    <w:rsid w:val="00FD7889"/>
    <w:rsid w:val="00FE0EDE"/>
    <w:rsid w:val="00FE4DEA"/>
    <w:rsid w:val="00FF0EBF"/>
    <w:rsid w:val="00FF29B2"/>
    <w:rsid w:val="00FF54EA"/>
    <w:rsid w:val="00FF6077"/>
    <w:rsid w:val="00FF77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560"/>
    <w:rPr>
      <w:rFonts w:ascii="Times New Roman" w:eastAsia="Times New Roman" w:hAnsi="Times New Roman"/>
      <w:sz w:val="24"/>
      <w:szCs w:val="24"/>
    </w:rPr>
  </w:style>
  <w:style w:type="paragraph" w:styleId="Heading1">
    <w:name w:val="heading 1"/>
    <w:basedOn w:val="Normal"/>
    <w:next w:val="Normal"/>
    <w:link w:val="Heading1Char"/>
    <w:uiPriority w:val="9"/>
    <w:qFormat/>
    <w:rsid w:val="0031475B"/>
    <w:pPr>
      <w:jc w:val="center"/>
      <w:outlineLvl w:val="0"/>
    </w:pPr>
    <w:rPr>
      <w:b/>
    </w:rPr>
  </w:style>
  <w:style w:type="paragraph" w:styleId="Heading2">
    <w:name w:val="heading 2"/>
    <w:basedOn w:val="Normal"/>
    <w:next w:val="Normal"/>
    <w:link w:val="Heading2Char"/>
    <w:uiPriority w:val="9"/>
    <w:unhideWhenUsed/>
    <w:qFormat/>
    <w:rsid w:val="0031475B"/>
    <w:pPr>
      <w:spacing w:line="276"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044560"/>
    <w:rPr>
      <w:vertAlign w:val="superscript"/>
    </w:rPr>
  </w:style>
  <w:style w:type="paragraph" w:styleId="Header">
    <w:name w:val="header"/>
    <w:basedOn w:val="Normal"/>
    <w:link w:val="HeaderChar"/>
    <w:uiPriority w:val="99"/>
    <w:rsid w:val="00044560"/>
    <w:pPr>
      <w:tabs>
        <w:tab w:val="center" w:pos="4320"/>
        <w:tab w:val="right" w:pos="8640"/>
      </w:tabs>
    </w:pPr>
  </w:style>
  <w:style w:type="character" w:customStyle="1" w:styleId="HeaderChar">
    <w:name w:val="Header Char"/>
    <w:basedOn w:val="DefaultParagraphFont"/>
    <w:link w:val="Header"/>
    <w:uiPriority w:val="99"/>
    <w:rsid w:val="00044560"/>
    <w:rPr>
      <w:rFonts w:ascii="Times New Roman" w:eastAsia="Times New Roman" w:hAnsi="Times New Roman" w:cs="Times New Roman"/>
      <w:sz w:val="24"/>
      <w:szCs w:val="24"/>
    </w:rPr>
  </w:style>
  <w:style w:type="character" w:styleId="PageNumber">
    <w:name w:val="page number"/>
    <w:basedOn w:val="DefaultParagraphFont"/>
    <w:rsid w:val="00044560"/>
  </w:style>
  <w:style w:type="paragraph" w:styleId="Footer">
    <w:name w:val="footer"/>
    <w:basedOn w:val="Normal"/>
    <w:link w:val="FooterChar"/>
    <w:uiPriority w:val="99"/>
    <w:unhideWhenUsed/>
    <w:rsid w:val="0081039D"/>
    <w:pPr>
      <w:tabs>
        <w:tab w:val="center" w:pos="4680"/>
        <w:tab w:val="right" w:pos="9360"/>
      </w:tabs>
    </w:pPr>
  </w:style>
  <w:style w:type="character" w:customStyle="1" w:styleId="FooterChar">
    <w:name w:val="Footer Char"/>
    <w:basedOn w:val="DefaultParagraphFont"/>
    <w:link w:val="Footer"/>
    <w:uiPriority w:val="99"/>
    <w:rsid w:val="0081039D"/>
    <w:rPr>
      <w:rFonts w:ascii="Times New Roman" w:eastAsia="Times New Roman" w:hAnsi="Times New Roman"/>
      <w:sz w:val="24"/>
      <w:szCs w:val="24"/>
    </w:rPr>
  </w:style>
  <w:style w:type="paragraph" w:styleId="ListParagraph">
    <w:name w:val="List Paragraph"/>
    <w:basedOn w:val="Normal"/>
    <w:uiPriority w:val="34"/>
    <w:qFormat/>
    <w:rsid w:val="004E1F2C"/>
    <w:pPr>
      <w:ind w:left="720"/>
      <w:contextualSpacing/>
    </w:pPr>
  </w:style>
  <w:style w:type="table" w:styleId="TableGrid">
    <w:name w:val="Table Grid"/>
    <w:basedOn w:val="TableNormal"/>
    <w:uiPriority w:val="59"/>
    <w:rsid w:val="00FC72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1475B"/>
    <w:rPr>
      <w:rFonts w:ascii="Times New Roman" w:eastAsia="Times New Roman" w:hAnsi="Times New Roman"/>
      <w:b/>
      <w:sz w:val="24"/>
      <w:szCs w:val="24"/>
    </w:rPr>
  </w:style>
  <w:style w:type="paragraph" w:styleId="Bibliography">
    <w:name w:val="Bibliography"/>
    <w:basedOn w:val="Normal"/>
    <w:next w:val="Normal"/>
    <w:uiPriority w:val="37"/>
    <w:unhideWhenUsed/>
    <w:rsid w:val="00DE2CEC"/>
  </w:style>
  <w:style w:type="character" w:styleId="Hyperlink">
    <w:name w:val="Hyperlink"/>
    <w:basedOn w:val="DefaultParagraphFont"/>
    <w:uiPriority w:val="99"/>
    <w:unhideWhenUsed/>
    <w:rsid w:val="00BF66B6"/>
    <w:rPr>
      <w:color w:val="0000FF"/>
      <w:u w:val="single"/>
    </w:rPr>
  </w:style>
  <w:style w:type="character" w:styleId="CommentReference">
    <w:name w:val="annotation reference"/>
    <w:basedOn w:val="DefaultParagraphFont"/>
    <w:uiPriority w:val="99"/>
    <w:semiHidden/>
    <w:unhideWhenUsed/>
    <w:rsid w:val="000C4BED"/>
    <w:rPr>
      <w:sz w:val="16"/>
      <w:szCs w:val="16"/>
    </w:rPr>
  </w:style>
  <w:style w:type="paragraph" w:styleId="CommentText">
    <w:name w:val="annotation text"/>
    <w:basedOn w:val="Normal"/>
    <w:link w:val="CommentTextChar"/>
    <w:uiPriority w:val="99"/>
    <w:semiHidden/>
    <w:unhideWhenUsed/>
    <w:rsid w:val="000C4BED"/>
    <w:rPr>
      <w:sz w:val="20"/>
      <w:szCs w:val="20"/>
    </w:rPr>
  </w:style>
  <w:style w:type="character" w:customStyle="1" w:styleId="CommentTextChar">
    <w:name w:val="Comment Text Char"/>
    <w:basedOn w:val="DefaultParagraphFont"/>
    <w:link w:val="CommentText"/>
    <w:uiPriority w:val="99"/>
    <w:semiHidden/>
    <w:rsid w:val="000C4BE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C4BED"/>
    <w:rPr>
      <w:b/>
      <w:bCs/>
    </w:rPr>
  </w:style>
  <w:style w:type="character" w:customStyle="1" w:styleId="CommentSubjectChar">
    <w:name w:val="Comment Subject Char"/>
    <w:basedOn w:val="CommentTextChar"/>
    <w:link w:val="CommentSubject"/>
    <w:uiPriority w:val="99"/>
    <w:semiHidden/>
    <w:rsid w:val="000C4BED"/>
    <w:rPr>
      <w:rFonts w:ascii="Times New Roman" w:eastAsia="Times New Roman" w:hAnsi="Times New Roman"/>
      <w:b/>
      <w:bCs/>
    </w:rPr>
  </w:style>
  <w:style w:type="paragraph" w:styleId="BalloonText">
    <w:name w:val="Balloon Text"/>
    <w:basedOn w:val="Normal"/>
    <w:link w:val="BalloonTextChar"/>
    <w:uiPriority w:val="99"/>
    <w:semiHidden/>
    <w:unhideWhenUsed/>
    <w:rsid w:val="000C4BED"/>
    <w:rPr>
      <w:rFonts w:ascii="Tahoma" w:hAnsi="Tahoma" w:cs="Tahoma"/>
      <w:sz w:val="16"/>
      <w:szCs w:val="16"/>
    </w:rPr>
  </w:style>
  <w:style w:type="character" w:customStyle="1" w:styleId="BalloonTextChar">
    <w:name w:val="Balloon Text Char"/>
    <w:basedOn w:val="DefaultParagraphFont"/>
    <w:link w:val="BalloonText"/>
    <w:uiPriority w:val="99"/>
    <w:semiHidden/>
    <w:rsid w:val="000C4BED"/>
    <w:rPr>
      <w:rFonts w:ascii="Tahoma" w:eastAsia="Times New Roman" w:hAnsi="Tahoma" w:cs="Tahoma"/>
      <w:sz w:val="16"/>
      <w:szCs w:val="16"/>
    </w:rPr>
  </w:style>
  <w:style w:type="character" w:customStyle="1" w:styleId="Heading2Char">
    <w:name w:val="Heading 2 Char"/>
    <w:basedOn w:val="DefaultParagraphFont"/>
    <w:link w:val="Heading2"/>
    <w:uiPriority w:val="9"/>
    <w:rsid w:val="0031475B"/>
    <w:rPr>
      <w:rFonts w:ascii="Times New Roman" w:eastAsia="Times New Roman" w:hAnsi="Times New Roman"/>
      <w:b/>
      <w:sz w:val="24"/>
      <w:szCs w:val="24"/>
    </w:rPr>
  </w:style>
  <w:style w:type="paragraph" w:styleId="Caption">
    <w:name w:val="caption"/>
    <w:basedOn w:val="Normal"/>
    <w:next w:val="Normal"/>
    <w:uiPriority w:val="35"/>
    <w:unhideWhenUsed/>
    <w:qFormat/>
    <w:rsid w:val="0031475B"/>
    <w:pPr>
      <w:spacing w:after="200"/>
    </w:pPr>
    <w:rPr>
      <w:b/>
      <w:bCs/>
      <w:color w:val="000000" w:themeColor="text1"/>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560"/>
    <w:rPr>
      <w:rFonts w:ascii="Times New Roman" w:eastAsia="Times New Roman" w:hAnsi="Times New Roman"/>
      <w:sz w:val="24"/>
      <w:szCs w:val="24"/>
    </w:rPr>
  </w:style>
  <w:style w:type="paragraph" w:styleId="Heading1">
    <w:name w:val="heading 1"/>
    <w:basedOn w:val="Normal"/>
    <w:next w:val="Normal"/>
    <w:link w:val="Heading1Char"/>
    <w:uiPriority w:val="9"/>
    <w:qFormat/>
    <w:rsid w:val="0031475B"/>
    <w:pPr>
      <w:jc w:val="center"/>
      <w:outlineLvl w:val="0"/>
    </w:pPr>
    <w:rPr>
      <w:b/>
    </w:rPr>
  </w:style>
  <w:style w:type="paragraph" w:styleId="Heading2">
    <w:name w:val="heading 2"/>
    <w:basedOn w:val="Normal"/>
    <w:next w:val="Normal"/>
    <w:link w:val="Heading2Char"/>
    <w:uiPriority w:val="9"/>
    <w:unhideWhenUsed/>
    <w:qFormat/>
    <w:rsid w:val="0031475B"/>
    <w:pPr>
      <w:spacing w:line="276"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044560"/>
    <w:rPr>
      <w:vertAlign w:val="superscript"/>
    </w:rPr>
  </w:style>
  <w:style w:type="paragraph" w:styleId="Header">
    <w:name w:val="header"/>
    <w:basedOn w:val="Normal"/>
    <w:link w:val="HeaderChar"/>
    <w:uiPriority w:val="99"/>
    <w:rsid w:val="00044560"/>
    <w:pPr>
      <w:tabs>
        <w:tab w:val="center" w:pos="4320"/>
        <w:tab w:val="right" w:pos="8640"/>
      </w:tabs>
    </w:pPr>
  </w:style>
  <w:style w:type="character" w:customStyle="1" w:styleId="HeaderChar">
    <w:name w:val="Header Char"/>
    <w:basedOn w:val="DefaultParagraphFont"/>
    <w:link w:val="Header"/>
    <w:uiPriority w:val="99"/>
    <w:rsid w:val="00044560"/>
    <w:rPr>
      <w:rFonts w:ascii="Times New Roman" w:eastAsia="Times New Roman" w:hAnsi="Times New Roman" w:cs="Times New Roman"/>
      <w:sz w:val="24"/>
      <w:szCs w:val="24"/>
    </w:rPr>
  </w:style>
  <w:style w:type="character" w:styleId="PageNumber">
    <w:name w:val="page number"/>
    <w:basedOn w:val="DefaultParagraphFont"/>
    <w:rsid w:val="00044560"/>
  </w:style>
  <w:style w:type="paragraph" w:styleId="Footer">
    <w:name w:val="footer"/>
    <w:basedOn w:val="Normal"/>
    <w:link w:val="FooterChar"/>
    <w:uiPriority w:val="99"/>
    <w:unhideWhenUsed/>
    <w:rsid w:val="0081039D"/>
    <w:pPr>
      <w:tabs>
        <w:tab w:val="center" w:pos="4680"/>
        <w:tab w:val="right" w:pos="9360"/>
      </w:tabs>
    </w:pPr>
  </w:style>
  <w:style w:type="character" w:customStyle="1" w:styleId="FooterChar">
    <w:name w:val="Footer Char"/>
    <w:basedOn w:val="DefaultParagraphFont"/>
    <w:link w:val="Footer"/>
    <w:uiPriority w:val="99"/>
    <w:rsid w:val="0081039D"/>
    <w:rPr>
      <w:rFonts w:ascii="Times New Roman" w:eastAsia="Times New Roman" w:hAnsi="Times New Roman"/>
      <w:sz w:val="24"/>
      <w:szCs w:val="24"/>
    </w:rPr>
  </w:style>
  <w:style w:type="paragraph" w:styleId="ListParagraph">
    <w:name w:val="List Paragraph"/>
    <w:basedOn w:val="Normal"/>
    <w:uiPriority w:val="34"/>
    <w:qFormat/>
    <w:rsid w:val="004E1F2C"/>
    <w:pPr>
      <w:ind w:left="720"/>
      <w:contextualSpacing/>
    </w:pPr>
  </w:style>
  <w:style w:type="table" w:styleId="TableGrid">
    <w:name w:val="Table Grid"/>
    <w:basedOn w:val="TableNormal"/>
    <w:uiPriority w:val="59"/>
    <w:rsid w:val="00FC72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1475B"/>
    <w:rPr>
      <w:rFonts w:ascii="Times New Roman" w:eastAsia="Times New Roman" w:hAnsi="Times New Roman"/>
      <w:b/>
      <w:sz w:val="24"/>
      <w:szCs w:val="24"/>
    </w:rPr>
  </w:style>
  <w:style w:type="paragraph" w:styleId="Bibliography">
    <w:name w:val="Bibliography"/>
    <w:basedOn w:val="Normal"/>
    <w:next w:val="Normal"/>
    <w:uiPriority w:val="37"/>
    <w:unhideWhenUsed/>
    <w:rsid w:val="00DE2CEC"/>
  </w:style>
  <w:style w:type="character" w:styleId="Hyperlink">
    <w:name w:val="Hyperlink"/>
    <w:basedOn w:val="DefaultParagraphFont"/>
    <w:uiPriority w:val="99"/>
    <w:unhideWhenUsed/>
    <w:rsid w:val="00BF66B6"/>
    <w:rPr>
      <w:color w:val="0000FF"/>
      <w:u w:val="single"/>
    </w:rPr>
  </w:style>
  <w:style w:type="character" w:styleId="CommentReference">
    <w:name w:val="annotation reference"/>
    <w:basedOn w:val="DefaultParagraphFont"/>
    <w:uiPriority w:val="99"/>
    <w:semiHidden/>
    <w:unhideWhenUsed/>
    <w:rsid w:val="000C4BED"/>
    <w:rPr>
      <w:sz w:val="16"/>
      <w:szCs w:val="16"/>
    </w:rPr>
  </w:style>
  <w:style w:type="paragraph" w:styleId="CommentText">
    <w:name w:val="annotation text"/>
    <w:basedOn w:val="Normal"/>
    <w:link w:val="CommentTextChar"/>
    <w:uiPriority w:val="99"/>
    <w:semiHidden/>
    <w:unhideWhenUsed/>
    <w:rsid w:val="000C4BED"/>
    <w:rPr>
      <w:sz w:val="20"/>
      <w:szCs w:val="20"/>
    </w:rPr>
  </w:style>
  <w:style w:type="character" w:customStyle="1" w:styleId="CommentTextChar">
    <w:name w:val="Comment Text Char"/>
    <w:basedOn w:val="DefaultParagraphFont"/>
    <w:link w:val="CommentText"/>
    <w:uiPriority w:val="99"/>
    <w:semiHidden/>
    <w:rsid w:val="000C4BE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C4BED"/>
    <w:rPr>
      <w:b/>
      <w:bCs/>
    </w:rPr>
  </w:style>
  <w:style w:type="character" w:customStyle="1" w:styleId="CommentSubjectChar">
    <w:name w:val="Comment Subject Char"/>
    <w:basedOn w:val="CommentTextChar"/>
    <w:link w:val="CommentSubject"/>
    <w:uiPriority w:val="99"/>
    <w:semiHidden/>
    <w:rsid w:val="000C4BED"/>
    <w:rPr>
      <w:rFonts w:ascii="Times New Roman" w:eastAsia="Times New Roman" w:hAnsi="Times New Roman"/>
      <w:b/>
      <w:bCs/>
    </w:rPr>
  </w:style>
  <w:style w:type="paragraph" w:styleId="BalloonText">
    <w:name w:val="Balloon Text"/>
    <w:basedOn w:val="Normal"/>
    <w:link w:val="BalloonTextChar"/>
    <w:uiPriority w:val="99"/>
    <w:semiHidden/>
    <w:unhideWhenUsed/>
    <w:rsid w:val="000C4BED"/>
    <w:rPr>
      <w:rFonts w:ascii="Tahoma" w:hAnsi="Tahoma" w:cs="Tahoma"/>
      <w:sz w:val="16"/>
      <w:szCs w:val="16"/>
    </w:rPr>
  </w:style>
  <w:style w:type="character" w:customStyle="1" w:styleId="BalloonTextChar">
    <w:name w:val="Balloon Text Char"/>
    <w:basedOn w:val="DefaultParagraphFont"/>
    <w:link w:val="BalloonText"/>
    <w:uiPriority w:val="99"/>
    <w:semiHidden/>
    <w:rsid w:val="000C4BED"/>
    <w:rPr>
      <w:rFonts w:ascii="Tahoma" w:eastAsia="Times New Roman" w:hAnsi="Tahoma" w:cs="Tahoma"/>
      <w:sz w:val="16"/>
      <w:szCs w:val="16"/>
    </w:rPr>
  </w:style>
  <w:style w:type="character" w:customStyle="1" w:styleId="Heading2Char">
    <w:name w:val="Heading 2 Char"/>
    <w:basedOn w:val="DefaultParagraphFont"/>
    <w:link w:val="Heading2"/>
    <w:uiPriority w:val="9"/>
    <w:rsid w:val="0031475B"/>
    <w:rPr>
      <w:rFonts w:ascii="Times New Roman" w:eastAsia="Times New Roman" w:hAnsi="Times New Roman"/>
      <w:b/>
      <w:sz w:val="24"/>
      <w:szCs w:val="24"/>
    </w:rPr>
  </w:style>
  <w:style w:type="paragraph" w:styleId="Caption">
    <w:name w:val="caption"/>
    <w:basedOn w:val="Normal"/>
    <w:next w:val="Normal"/>
    <w:uiPriority w:val="35"/>
    <w:unhideWhenUsed/>
    <w:qFormat/>
    <w:rsid w:val="0031475B"/>
    <w:pPr>
      <w:spacing w:after="200"/>
    </w:pPr>
    <w:rPr>
      <w:b/>
      <w:bCs/>
      <w:color w:val="000000" w:themeColor="text1"/>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538338">
      <w:bodyDiv w:val="1"/>
      <w:marLeft w:val="0"/>
      <w:marRight w:val="0"/>
      <w:marTop w:val="0"/>
      <w:marBottom w:val="0"/>
      <w:divBdr>
        <w:top w:val="none" w:sz="0" w:space="0" w:color="auto"/>
        <w:left w:val="none" w:sz="0" w:space="0" w:color="auto"/>
        <w:bottom w:val="none" w:sz="0" w:space="0" w:color="auto"/>
        <w:right w:val="none" w:sz="0" w:space="0" w:color="auto"/>
      </w:divBdr>
      <w:divsChild>
        <w:div w:id="441464320">
          <w:marLeft w:val="432"/>
          <w:marRight w:val="0"/>
          <w:marTop w:val="125"/>
          <w:marBottom w:val="0"/>
          <w:divBdr>
            <w:top w:val="none" w:sz="0" w:space="0" w:color="auto"/>
            <w:left w:val="none" w:sz="0" w:space="0" w:color="auto"/>
            <w:bottom w:val="none" w:sz="0" w:space="0" w:color="auto"/>
            <w:right w:val="none" w:sz="0" w:space="0" w:color="auto"/>
          </w:divBdr>
        </w:div>
        <w:div w:id="686367475">
          <w:marLeft w:val="432"/>
          <w:marRight w:val="0"/>
          <w:marTop w:val="125"/>
          <w:marBottom w:val="0"/>
          <w:divBdr>
            <w:top w:val="none" w:sz="0" w:space="0" w:color="auto"/>
            <w:left w:val="none" w:sz="0" w:space="0" w:color="auto"/>
            <w:bottom w:val="none" w:sz="0" w:space="0" w:color="auto"/>
            <w:right w:val="none" w:sz="0" w:space="0" w:color="auto"/>
          </w:divBdr>
        </w:div>
        <w:div w:id="1549488997">
          <w:marLeft w:val="432"/>
          <w:marRight w:val="0"/>
          <w:marTop w:val="125"/>
          <w:marBottom w:val="0"/>
          <w:divBdr>
            <w:top w:val="none" w:sz="0" w:space="0" w:color="auto"/>
            <w:left w:val="none" w:sz="0" w:space="0" w:color="auto"/>
            <w:bottom w:val="none" w:sz="0" w:space="0" w:color="auto"/>
            <w:right w:val="none" w:sz="0" w:space="0" w:color="auto"/>
          </w:divBdr>
        </w:div>
        <w:div w:id="1552225772">
          <w:marLeft w:val="432"/>
          <w:marRight w:val="0"/>
          <w:marTop w:val="125"/>
          <w:marBottom w:val="0"/>
          <w:divBdr>
            <w:top w:val="none" w:sz="0" w:space="0" w:color="auto"/>
            <w:left w:val="none" w:sz="0" w:space="0" w:color="auto"/>
            <w:bottom w:val="none" w:sz="0" w:space="0" w:color="auto"/>
            <w:right w:val="none" w:sz="0" w:space="0" w:color="auto"/>
          </w:divBdr>
        </w:div>
        <w:div w:id="1779713453">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Smi08</b:Tag>
    <b:SourceType>Book</b:SourceType>
    <b:Guid>{829E7717-4096-4F86-8079-D0FB7D6DC324}</b:Guid>
    <b:Author>
      <b:Author>
        <b:NameList>
          <b:Person>
            <b:Last>Smith</b:Last>
            <b:First>Robin</b:First>
            <b:Middle>M.</b:Middle>
          </b:Person>
        </b:NameList>
      </b:Author>
    </b:Author>
    <b:Title>Conquering the Content: A Step-by-Step Guide to Online Course Design</b:Title>
    <b:Year>2008</b:Year>
    <b:City>San Francisco</b:City>
    <b:Publisher>Jossey-Bass</b:Publisher>
    <b:RefOrder>2</b:RefOrder>
  </b:Source>
  <b:Source>
    <b:Tag>Dic96</b:Tag>
    <b:SourceType>Book</b:SourceType>
    <b:Guid>{F20E55C5-00BD-4DFA-AA77-2E7FDBCC35C2}</b:Guid>
    <b:Author>
      <b:Author>
        <b:NameList>
          <b:Person>
            <b:Last>Dick</b:Last>
            <b:First>W.,</b:First>
            <b:Middle>&amp; Carey, L.</b:Middle>
          </b:Person>
        </b:NameList>
      </b:Author>
    </b:Author>
    <b:Title>The Systematic Design of Instruction</b:Title>
    <b:Year>1996</b:Year>
    <b:City>New York</b:City>
    <b:Publisher>Harper Collins College Publishers</b:Publisher>
    <b:RefOrder>1</b:RefOrder>
  </b:Source>
</b:Sources>
</file>

<file path=customXml/itemProps1.xml><?xml version="1.0" encoding="utf-8"?>
<ds:datastoreItem xmlns:ds="http://schemas.openxmlformats.org/officeDocument/2006/customXml" ds:itemID="{45C9C2C1-EDE7-4CBC-AFE4-EB3052CC2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1459</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9757</CharactersWithSpaces>
  <SharedDoc>false</SharedDoc>
  <HLinks>
    <vt:vector size="12" baseType="variant">
      <vt:variant>
        <vt:i4>7012405</vt:i4>
      </vt:variant>
      <vt:variant>
        <vt:i4>3</vt:i4>
      </vt:variant>
      <vt:variant>
        <vt:i4>0</vt:i4>
      </vt:variant>
      <vt:variant>
        <vt:i4>5</vt:i4>
      </vt:variant>
      <vt:variant>
        <vt:lpwstr>http://psuwcfacdev.ning.com/group/ol2000effectiveteachingonline</vt:lpwstr>
      </vt:variant>
      <vt:variant>
        <vt:lpwstr/>
      </vt:variant>
      <vt:variant>
        <vt:i4>2621549</vt:i4>
      </vt:variant>
      <vt:variant>
        <vt:i4>0</vt:i4>
      </vt:variant>
      <vt:variant>
        <vt:i4>0</vt:i4>
      </vt:variant>
      <vt:variant>
        <vt:i4>5</vt:i4>
      </vt:variant>
      <vt:variant>
        <vt:lpwstr>http://weblearning.psu.edu/news/faculty-self-assessment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 State Berks</dc:creator>
  <cp:lastModifiedBy>MARY MENGEL</cp:lastModifiedBy>
  <cp:revision>3</cp:revision>
  <cp:lastPrinted>2011-01-10T13:04:00Z</cp:lastPrinted>
  <dcterms:created xsi:type="dcterms:W3CDTF">2013-06-04T18:02:00Z</dcterms:created>
  <dcterms:modified xsi:type="dcterms:W3CDTF">2013-06-04T18:07:00Z</dcterms:modified>
</cp:coreProperties>
</file>