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40" w:rsidRPr="005B12F0" w:rsidRDefault="00D12ADE" w:rsidP="005B12F0">
      <w:pPr>
        <w:pStyle w:val="Title"/>
      </w:pPr>
      <w:r w:rsidRPr="005B12F0">
        <w:t>Hybrid Course Development – MATH 02</w:t>
      </w:r>
      <w:r w:rsidR="009E35A2" w:rsidRPr="005B12F0">
        <w:t>6</w:t>
      </w:r>
    </w:p>
    <w:p w:rsidR="0021042E" w:rsidRPr="005B12F0" w:rsidRDefault="00883388" w:rsidP="005B12F0">
      <w:pPr>
        <w:pStyle w:val="Title"/>
      </w:pPr>
      <w:proofErr w:type="spellStart"/>
      <w:r w:rsidRPr="005B12F0">
        <w:t>Selvi</w:t>
      </w:r>
      <w:proofErr w:type="spellEnd"/>
      <w:r w:rsidRPr="005B12F0">
        <w:t xml:space="preserve"> </w:t>
      </w:r>
      <w:proofErr w:type="spellStart"/>
      <w:r w:rsidR="009E35A2" w:rsidRPr="005B12F0">
        <w:t>Jagadesan</w:t>
      </w:r>
      <w:proofErr w:type="spellEnd"/>
    </w:p>
    <w:p w:rsidR="0021042E" w:rsidRPr="005B12F0" w:rsidRDefault="00D12ADE" w:rsidP="005B12F0">
      <w:pPr>
        <w:pStyle w:val="Subtitle"/>
      </w:pPr>
      <w:r w:rsidRPr="005B12F0">
        <w:t xml:space="preserve">Design: </w:t>
      </w:r>
      <w:r w:rsidR="009E35A2" w:rsidRPr="005B12F0">
        <w:t xml:space="preserve">Spring 2015 – </w:t>
      </w:r>
      <w:proofErr w:type="gramStart"/>
      <w:r w:rsidR="009E35A2" w:rsidRPr="005B12F0">
        <w:t>Summer</w:t>
      </w:r>
      <w:proofErr w:type="gramEnd"/>
      <w:r w:rsidR="009E35A2" w:rsidRPr="005B12F0">
        <w:t xml:space="preserve"> 2015</w:t>
      </w:r>
    </w:p>
    <w:p w:rsidR="00D12ADE" w:rsidRPr="005B12F0" w:rsidRDefault="00D12ADE" w:rsidP="005B12F0">
      <w:pPr>
        <w:pStyle w:val="Subtitle"/>
      </w:pPr>
      <w:r w:rsidRPr="005B12F0">
        <w:t>Implementation: Fall 201</w:t>
      </w:r>
      <w:r w:rsidR="009E35A2" w:rsidRPr="005B12F0">
        <w:t>5</w:t>
      </w:r>
    </w:p>
    <w:p w:rsidR="00D12ADE" w:rsidRPr="005B12F0" w:rsidRDefault="009E35A2" w:rsidP="005B12F0">
      <w:pPr>
        <w:pStyle w:val="Subtitle"/>
      </w:pPr>
      <w:r w:rsidRPr="005B12F0">
        <w:t>Final Report: Spring 2016</w:t>
      </w:r>
    </w:p>
    <w:p w:rsidR="00D12ADE" w:rsidRPr="00875700" w:rsidRDefault="00D12ADE" w:rsidP="0021042E">
      <w:pPr>
        <w:jc w:val="center"/>
      </w:pPr>
    </w:p>
    <w:p w:rsidR="0053619C" w:rsidRPr="00875700" w:rsidRDefault="0053619C" w:rsidP="0021042E"/>
    <w:p w:rsidR="0021042E" w:rsidRPr="005B12F0" w:rsidRDefault="0021042E" w:rsidP="005B12F0">
      <w:pPr>
        <w:pStyle w:val="Heading1"/>
      </w:pPr>
      <w:r w:rsidRPr="005B12F0">
        <w:t>Introduction</w:t>
      </w:r>
    </w:p>
    <w:p w:rsidR="00AE4A8D" w:rsidRDefault="003464E7" w:rsidP="00AE4A8D">
      <w:r>
        <w:t>The main objective for the Math 2</w:t>
      </w:r>
      <w:r w:rsidR="009E35A2">
        <w:t>6</w:t>
      </w:r>
      <w:r>
        <w:t xml:space="preserve"> hybrid course was</w:t>
      </w:r>
      <w:r w:rsidRPr="003464E7">
        <w:t xml:space="preserve"> to improve the structure and stability of Math 2</w:t>
      </w:r>
      <w:r w:rsidR="009E35A2">
        <w:t xml:space="preserve">6, </w:t>
      </w:r>
      <w:r w:rsidRPr="003464E7">
        <w:t>reaffirm the fo</w:t>
      </w:r>
      <w:r>
        <w:t xml:space="preserve">undation to build advancement </w:t>
      </w:r>
      <w:r w:rsidR="009E35A2">
        <w:t>for higher math, and align the structure to the previously developed hybrid versions of Math 21 and Math 22.</w:t>
      </w:r>
    </w:p>
    <w:p w:rsidR="003464E7" w:rsidRDefault="003464E7" w:rsidP="0021042E"/>
    <w:p w:rsidR="000C33B9" w:rsidRDefault="006C1256" w:rsidP="0021042E">
      <w:r>
        <w:t>The pedagogical reason to implement a hybrid course was to address the need of enriching more enabled students in their</w:t>
      </w:r>
      <w:r w:rsidR="00025B32">
        <w:t xml:space="preserve"> pursuit </w:t>
      </w:r>
      <w:r w:rsidR="00025B32" w:rsidRPr="00B429AB">
        <w:t>of higher math courses</w:t>
      </w:r>
      <w:r w:rsidRPr="00B429AB">
        <w:t xml:space="preserve"> </w:t>
      </w:r>
      <w:r w:rsidR="00025B32" w:rsidRPr="00B429AB">
        <w:t>(</w:t>
      </w:r>
      <w:r w:rsidRPr="00B429AB">
        <w:t xml:space="preserve">including </w:t>
      </w:r>
      <w:r w:rsidR="00AE4A8D" w:rsidRPr="00B429AB">
        <w:t xml:space="preserve">Math 40, </w:t>
      </w:r>
      <w:r w:rsidR="00025B32" w:rsidRPr="00B429AB">
        <w:t xml:space="preserve">Calculus 110 or 140, </w:t>
      </w:r>
      <w:r w:rsidRPr="00B429AB">
        <w:t>and Statistics 200</w:t>
      </w:r>
      <w:r w:rsidR="00025B32" w:rsidRPr="00B429AB">
        <w:t>)</w:t>
      </w:r>
      <w:r w:rsidRPr="00B429AB">
        <w:t xml:space="preserve"> to learn more on their own while setting aside more quality time for learners who needed a significant amount of individual attention.</w:t>
      </w:r>
      <w:r w:rsidR="00285C08">
        <w:t xml:space="preserve"> </w:t>
      </w:r>
      <w:r w:rsidR="009E35A2">
        <w:t>As with previously developed Math 21 and Math 22, it was found that in previous semester</w:t>
      </w:r>
      <w:r w:rsidR="00730F6A">
        <w:t>s</w:t>
      </w:r>
      <w:r w:rsidR="009E35A2">
        <w:t xml:space="preserve"> of Math 26 that the</w:t>
      </w:r>
      <w:r w:rsidR="00DF0EDE" w:rsidRPr="00B429AB">
        <w:t xml:space="preserve"> more enabled students were frustrated at the slow pace </w:t>
      </w:r>
      <w:r w:rsidR="000C33B9">
        <w:t>of the class necessary to address the needs of some fellow students and the requirement to be in class when they had grasped the concept at a superior level of understanding.</w:t>
      </w:r>
      <w:r w:rsidR="00285C08">
        <w:t xml:space="preserve"> </w:t>
      </w:r>
      <w:r w:rsidR="000C33B9">
        <w:t>In addition, the learners who needed a significant amount of individual attention felt that the class was too fast paced and did not address the additional explanations that they need.</w:t>
      </w:r>
      <w:r w:rsidR="00285C08">
        <w:t xml:space="preserve"> </w:t>
      </w:r>
    </w:p>
    <w:p w:rsidR="000C33B9" w:rsidRDefault="000C33B9" w:rsidP="0021042E"/>
    <w:p w:rsidR="000C33B9" w:rsidRDefault="000C33B9" w:rsidP="000C33B9">
      <w:r>
        <w:t>To address this need, seat time was decreased by 50 minutes / week after Exam 1 for the more enabled students, who are the students that receive a 75% or more on the most recent exam taken after Exam 1.</w:t>
      </w:r>
      <w:r w:rsidR="00285C08">
        <w:t xml:space="preserve"> </w:t>
      </w:r>
      <w:r>
        <w:t>The 50 minutes / week for the students who needed a significant amount of individual attention, who are the students that receive less than a 75% on the most recent exam taken after Exam 1 were used for additional practice / working sessions in order to address individual needs, as well as, improve student learning and retention.</w:t>
      </w:r>
      <w:r w:rsidR="00285C08">
        <w:t xml:space="preserve"> </w:t>
      </w:r>
      <w:r w:rsidR="00CC657B">
        <w:t>In addition, the well-</w:t>
      </w:r>
      <w:r>
        <w:t>enabled students were allowed to have self-selected attendance for the additional practice / working sessions.</w:t>
      </w:r>
    </w:p>
    <w:p w:rsidR="000C33B9" w:rsidRPr="00B429AB" w:rsidRDefault="000C33B9" w:rsidP="0021042E"/>
    <w:p w:rsidR="000C33B9" w:rsidRDefault="000C33B9" w:rsidP="000C33B9">
      <w:r>
        <w:t>The additional reason for implementing a hybrid course is that the Berks</w:t>
      </w:r>
      <w:r w:rsidRPr="003464E7">
        <w:t xml:space="preserve"> campus deals with many non-traditional learners, such as older adults, students in the military</w:t>
      </w:r>
      <w:r>
        <w:t>,</w:t>
      </w:r>
      <w:r w:rsidRPr="003464E7">
        <w:t xml:space="preserve"> </w:t>
      </w:r>
      <w:r>
        <w:t>or traditional age students who have jobs,</w:t>
      </w:r>
      <w:r w:rsidRPr="003464E7">
        <w:t xml:space="preserve"> where time is a big factor in academic success</w:t>
      </w:r>
      <w:r>
        <w:t>.</w:t>
      </w:r>
      <w:r w:rsidR="00285C08">
        <w:t xml:space="preserve"> </w:t>
      </w:r>
      <w:r>
        <w:t>By moving 50 minutes / week after Exam 1 to an online format for the more enabled students it provides flexibility of fitting classes into their busy schedules while allowing time to address the students who needed additional individual attention. The implementation of a hybrid model was also thought to help improve s</w:t>
      </w:r>
      <w:r w:rsidRPr="00413420">
        <w:t xml:space="preserve">tudent confidence by </w:t>
      </w:r>
      <w:r>
        <w:t>having them work</w:t>
      </w:r>
      <w:r w:rsidRPr="00413420">
        <w:t xml:space="preserve"> independently through the many on</w:t>
      </w:r>
      <w:r>
        <w:t>line resources provided. The extra tools and practice were intended to</w:t>
      </w:r>
      <w:r w:rsidRPr="00413420">
        <w:t xml:space="preserve"> get the students ready for real world skills where constant learning is necessary to progress in their careers.</w:t>
      </w:r>
    </w:p>
    <w:p w:rsidR="0053619C" w:rsidRPr="00AE4A8D" w:rsidRDefault="0053619C" w:rsidP="0021042E">
      <w:pPr>
        <w:rPr>
          <w:highlight w:val="yellow"/>
        </w:rPr>
      </w:pPr>
    </w:p>
    <w:p w:rsidR="0021042E" w:rsidRPr="00B429AB" w:rsidRDefault="0021042E" w:rsidP="005B12F0">
      <w:pPr>
        <w:pStyle w:val="Heading1"/>
      </w:pPr>
      <w:r w:rsidRPr="00B429AB">
        <w:t>Project Design</w:t>
      </w:r>
      <w:r w:rsidR="00D12ADE" w:rsidRPr="00B429AB">
        <w:t xml:space="preserve"> Timeline</w:t>
      </w:r>
    </w:p>
    <w:p w:rsidR="009E35A2" w:rsidRDefault="00025B32" w:rsidP="0021042E">
      <w:r w:rsidRPr="00B429AB">
        <w:t xml:space="preserve">Prior to the TLI Grant, </w:t>
      </w:r>
      <w:proofErr w:type="spellStart"/>
      <w:r w:rsidR="00730F6A">
        <w:t>Selvi</w:t>
      </w:r>
      <w:proofErr w:type="spellEnd"/>
      <w:r w:rsidR="00730F6A">
        <w:t xml:space="preserve"> </w:t>
      </w:r>
      <w:proofErr w:type="spellStart"/>
      <w:r w:rsidR="00730F6A">
        <w:t>Jagadesan</w:t>
      </w:r>
      <w:proofErr w:type="spellEnd"/>
      <w:r w:rsidR="00730F6A">
        <w:t xml:space="preserve"> had</w:t>
      </w:r>
      <w:r w:rsidR="009E35A2">
        <w:t xml:space="preserve"> a previous TLI Grant and went through the Berks eLearning Academy. </w:t>
      </w:r>
      <w:proofErr w:type="spellStart"/>
      <w:r w:rsidR="009E35A2">
        <w:t>Selvi</w:t>
      </w:r>
      <w:proofErr w:type="spellEnd"/>
      <w:r w:rsidR="009E35A2">
        <w:t xml:space="preserve"> had in-depth experience with course design due to creating hybrid and online versions of Math 21 and Math 22 in partnership with JoAnne </w:t>
      </w:r>
      <w:proofErr w:type="spellStart"/>
      <w:r w:rsidR="009E35A2">
        <w:t>Pumariega</w:t>
      </w:r>
      <w:proofErr w:type="spellEnd"/>
      <w:r w:rsidR="009E35A2">
        <w:t xml:space="preserve">. </w:t>
      </w:r>
      <w:r w:rsidR="005B12F0">
        <w:t xml:space="preserve">It was </w:t>
      </w:r>
      <w:r w:rsidR="00730F6A">
        <w:t xml:space="preserve">also </w:t>
      </w:r>
      <w:r w:rsidR="005B12F0">
        <w:t xml:space="preserve">decided that although the full implementation </w:t>
      </w:r>
      <w:r w:rsidR="00730F6A">
        <w:t xml:space="preserve">of Math 26 in a hybrid format </w:t>
      </w:r>
      <w:r w:rsidR="005B12F0">
        <w:t>would be applied for Fall 2015, that a pilot of some aspects of the hybrid course could be done for the Summer 2015 course section.</w:t>
      </w:r>
    </w:p>
    <w:p w:rsidR="009E35A2" w:rsidRDefault="009E35A2" w:rsidP="0021042E"/>
    <w:p w:rsidR="005B12F0" w:rsidRPr="005B12F0" w:rsidRDefault="005B12F0" w:rsidP="005B12F0">
      <w:pPr>
        <w:pStyle w:val="Heading2"/>
      </w:pPr>
      <w:r w:rsidRPr="005B12F0">
        <w:t>Spring 2015</w:t>
      </w:r>
    </w:p>
    <w:p w:rsidR="009E35A2" w:rsidRDefault="009E35A2" w:rsidP="0021042E">
      <w:r>
        <w:t xml:space="preserve">Amy Roche, instructional designer within the Center for Learning and Teaching, and </w:t>
      </w:r>
      <w:proofErr w:type="spellStart"/>
      <w:r>
        <w:t>Selvi</w:t>
      </w:r>
      <w:proofErr w:type="spellEnd"/>
      <w:r>
        <w:t xml:space="preserve"> </w:t>
      </w:r>
      <w:proofErr w:type="spellStart"/>
      <w:r>
        <w:t>Jagadesan</w:t>
      </w:r>
      <w:proofErr w:type="spellEnd"/>
      <w:r>
        <w:t xml:space="preserve"> first worked together to identify </w:t>
      </w:r>
      <w:r w:rsidR="00025B32" w:rsidRPr="00B429AB">
        <w:t xml:space="preserve">the higher level course outcomes, the detailed course objectives, and </w:t>
      </w:r>
      <w:r w:rsidR="00413420" w:rsidRPr="00B429AB">
        <w:t>ensured alignment of the</w:t>
      </w:r>
      <w:r w:rsidR="00025B32" w:rsidRPr="00B429AB">
        <w:t xml:space="preserve"> course objectives, course conten</w:t>
      </w:r>
      <w:r>
        <w:t xml:space="preserve">t, review items, and assessment. Due to her previous experience, </w:t>
      </w:r>
      <w:proofErr w:type="spellStart"/>
      <w:r>
        <w:t>Selvi</w:t>
      </w:r>
      <w:proofErr w:type="spellEnd"/>
      <w:r>
        <w:t xml:space="preserve"> worked independently to design and develop mini-lectures that </w:t>
      </w:r>
      <w:r w:rsidR="00730F6A">
        <w:t>included course objectives and the mini-lectures would</w:t>
      </w:r>
      <w:r>
        <w:t xml:space="preserve"> prepare students prior to coming to class. </w:t>
      </w:r>
      <w:r w:rsidR="00A906E4">
        <w:t xml:space="preserve">It was also decided to initially postpone the development of </w:t>
      </w:r>
      <w:r>
        <w:t>in-class worksheets that students w</w:t>
      </w:r>
      <w:r w:rsidR="00A906E4">
        <w:t>ould</w:t>
      </w:r>
      <w:r>
        <w:t xml:space="preserve"> to bring to class and work out the problems step-by-step.</w:t>
      </w:r>
      <w:r w:rsidR="00A906E4">
        <w:t xml:space="preserve"> These were created for Math 21 and 22; however, due to timing would not be ready for Math 26 for </w:t>
      </w:r>
      <w:proofErr w:type="gramStart"/>
      <w:r w:rsidR="00A906E4">
        <w:t>Summer</w:t>
      </w:r>
      <w:proofErr w:type="gramEnd"/>
      <w:r w:rsidR="00A906E4">
        <w:t xml:space="preserve"> 2016.</w:t>
      </w:r>
    </w:p>
    <w:p w:rsidR="009E35A2" w:rsidRDefault="009E35A2" w:rsidP="0021042E"/>
    <w:p w:rsidR="009E35A2" w:rsidRDefault="009E35A2" w:rsidP="0021042E">
      <w:r>
        <w:t xml:space="preserve">During this time, </w:t>
      </w:r>
      <w:proofErr w:type="spellStart"/>
      <w:r>
        <w:t>Selvi</w:t>
      </w:r>
      <w:proofErr w:type="spellEnd"/>
      <w:r>
        <w:t xml:space="preserve"> also i</w:t>
      </w:r>
      <w:r w:rsidR="00025B32" w:rsidRPr="00F92047">
        <w:t>ntegrated several accessory online resources from the required</w:t>
      </w:r>
      <w:r w:rsidR="00D37385" w:rsidRPr="00F92047">
        <w:t xml:space="preserve"> electronic</w:t>
      </w:r>
      <w:r w:rsidR="00025B32" w:rsidRPr="00F92047">
        <w:t xml:space="preserve"> textbook author including </w:t>
      </w:r>
      <w:r w:rsidR="007707A3" w:rsidRPr="00F92047">
        <w:t xml:space="preserve">built-in </w:t>
      </w:r>
      <w:r>
        <w:t xml:space="preserve">optional </w:t>
      </w:r>
      <w:r w:rsidR="007707A3" w:rsidRPr="00F92047">
        <w:t>tutorials,</w:t>
      </w:r>
      <w:r w:rsidR="00025B32" w:rsidRPr="00F92047">
        <w:t xml:space="preserve"> </w:t>
      </w:r>
      <w:r w:rsidR="007707A3" w:rsidRPr="00F92047">
        <w:t xml:space="preserve">homework, </w:t>
      </w:r>
      <w:r w:rsidR="00025B32" w:rsidRPr="00F92047">
        <w:t xml:space="preserve">and </w:t>
      </w:r>
      <w:r w:rsidR="007707A3" w:rsidRPr="00F92047">
        <w:t xml:space="preserve">quizzes </w:t>
      </w:r>
      <w:r w:rsidR="00C85CB8">
        <w:t>to not just address incorporating the latest technology, but to truly promote practice and gaining expertise in all course objectives and self-management of the study skills needed in the workplace.</w:t>
      </w:r>
      <w:r w:rsidR="00285C08">
        <w:t xml:space="preserve"> </w:t>
      </w:r>
    </w:p>
    <w:p w:rsidR="009E35A2" w:rsidRDefault="009E35A2" w:rsidP="0021042E"/>
    <w:p w:rsidR="009E35A2" w:rsidRDefault="009E35A2" w:rsidP="0021042E">
      <w:r>
        <w:t xml:space="preserve">To bring all of the lecture-based resources, practice items, and assessments together, </w:t>
      </w:r>
      <w:proofErr w:type="spellStart"/>
      <w:r>
        <w:t>Selvi</w:t>
      </w:r>
      <w:proofErr w:type="spellEnd"/>
      <w:r>
        <w:t xml:space="preserve"> and Amy designed and developed daily agendas that </w:t>
      </w:r>
      <w:r w:rsidR="007707A3" w:rsidRPr="00883388">
        <w:t>emphasized resources of concentration by focusing on the before, during, and after class learning procedures</w:t>
      </w:r>
      <w:r w:rsidR="00DF0EDE" w:rsidRPr="00883388">
        <w:t>.</w:t>
      </w:r>
      <w:r w:rsidR="00285C08">
        <w:t xml:space="preserve"> </w:t>
      </w:r>
      <w:r w:rsidR="00DF0EDE" w:rsidRPr="00883388">
        <w:t>The daily agendas further enhanced the concept of alignment of course outcomes, course objectives, course content, review items, and assessment items in a way that was clear to the student</w:t>
      </w:r>
      <w:r w:rsidR="007707A3" w:rsidRPr="00883388">
        <w:t>.</w:t>
      </w:r>
      <w:r w:rsidR="00285C08">
        <w:t xml:space="preserve"> </w:t>
      </w:r>
    </w:p>
    <w:p w:rsidR="009E35A2" w:rsidRDefault="009E35A2" w:rsidP="0021042E"/>
    <w:p w:rsidR="005B12F0" w:rsidRDefault="005B12F0" w:rsidP="0021042E">
      <w:r>
        <w:t xml:space="preserve">Amy and </w:t>
      </w:r>
      <w:proofErr w:type="spellStart"/>
      <w:r>
        <w:t>Selvi</w:t>
      </w:r>
      <w:proofErr w:type="spellEnd"/>
      <w:r>
        <w:t xml:space="preserve"> m</w:t>
      </w:r>
      <w:r w:rsidR="00D059B3" w:rsidRPr="00883388">
        <w:t>odified the syllabus to include several key items including an explanation of hy</w:t>
      </w:r>
      <w:r w:rsidR="00F92047" w:rsidRPr="00883388">
        <w:t>brid courses</w:t>
      </w:r>
      <w:r>
        <w:t xml:space="preserve"> and how the Math 26</w:t>
      </w:r>
      <w:r w:rsidR="00D059B3" w:rsidRPr="00883388">
        <w:t xml:space="preserve"> version of the hybrid is run, adherence to Course Policy 42-23, etc., as well as, ensured additional key </w:t>
      </w:r>
      <w:r w:rsidR="002A24E4" w:rsidRPr="00883388">
        <w:t>items were in the syllabu</w:t>
      </w:r>
      <w:r w:rsidR="001D099B" w:rsidRPr="00883388">
        <w:t>s.</w:t>
      </w:r>
      <w:r w:rsidR="00285C08">
        <w:t xml:space="preserve"> </w:t>
      </w:r>
      <w:r w:rsidR="001D099B" w:rsidRPr="00883388">
        <w:t>The key items in th</w:t>
      </w:r>
      <w:r w:rsidR="001D099B" w:rsidRPr="00F92047">
        <w:t>e syllabus included</w:t>
      </w:r>
      <w:r w:rsidR="002A24E4" w:rsidRPr="00F92047">
        <w:t xml:space="preserve"> several sub-topics in the following areas: course information, instructor information, text/readings/materials, course description/objectives, course policies, available support services, and the course calendar/schedule. </w:t>
      </w:r>
      <w:r>
        <w:t>To ensure that students were well-</w:t>
      </w:r>
      <w:r w:rsidR="00730F6A">
        <w:t>equipped</w:t>
      </w:r>
      <w:r>
        <w:t xml:space="preserve"> for the hybrid version of the course, a Start Here / Course Orientation module was integrated including a quiz to identify if the hybrid course was the best modality for the student. </w:t>
      </w:r>
    </w:p>
    <w:p w:rsidR="005B12F0" w:rsidRDefault="005B12F0" w:rsidP="0021042E"/>
    <w:p w:rsidR="00610EC7" w:rsidRDefault="00730F6A" w:rsidP="00610EC7">
      <w:r>
        <w:t xml:space="preserve">In regards to instructional modules, </w:t>
      </w:r>
      <w:r w:rsidR="00E22A71" w:rsidRPr="00E22A71">
        <w:t xml:space="preserve">Mary Ann </w:t>
      </w:r>
      <w:proofErr w:type="spellStart"/>
      <w:r w:rsidR="00E22A71" w:rsidRPr="00E22A71">
        <w:t>Mengel</w:t>
      </w:r>
      <w:proofErr w:type="spellEnd"/>
      <w:r w:rsidR="00E22A71" w:rsidRPr="00E22A71">
        <w:t xml:space="preserve"> and </w:t>
      </w:r>
      <w:proofErr w:type="spellStart"/>
      <w:r w:rsidR="00E22A71" w:rsidRPr="00E22A71">
        <w:t>Selvi</w:t>
      </w:r>
      <w:proofErr w:type="spellEnd"/>
      <w:r w:rsidR="00E22A71" w:rsidRPr="00E22A71">
        <w:t xml:space="preserve"> </w:t>
      </w:r>
      <w:proofErr w:type="spellStart"/>
      <w:r w:rsidR="00E22A71" w:rsidRPr="00E22A71">
        <w:t>Jagadesan</w:t>
      </w:r>
      <w:proofErr w:type="spellEnd"/>
      <w:r w:rsidR="00E22A71" w:rsidRPr="00E22A71">
        <w:t xml:space="preserve"> previously identified a process and workflow for creating </w:t>
      </w:r>
      <w:r>
        <w:t>these items.</w:t>
      </w:r>
      <w:r w:rsidR="00E22A71" w:rsidRPr="00E22A71">
        <w:t xml:space="preserve"> As part of this process</w:t>
      </w:r>
      <w:r w:rsidR="00610EC7">
        <w:t xml:space="preserve">, </w:t>
      </w:r>
      <w:proofErr w:type="spellStart"/>
      <w:r w:rsidR="00610EC7">
        <w:t>Selvi</w:t>
      </w:r>
      <w:proofErr w:type="spellEnd"/>
      <w:r w:rsidR="00610EC7" w:rsidRPr="00570FB0">
        <w:t xml:space="preserve"> </w:t>
      </w:r>
      <w:r w:rsidR="00610EC7">
        <w:t>started to record</w:t>
      </w:r>
      <w:r w:rsidR="00610EC7" w:rsidRPr="00570FB0">
        <w:t xml:space="preserve"> whiteboard-style worked examples with </w:t>
      </w:r>
      <w:proofErr w:type="spellStart"/>
      <w:r w:rsidR="00610EC7" w:rsidRPr="00570FB0">
        <w:t>Doceri</w:t>
      </w:r>
      <w:proofErr w:type="spellEnd"/>
      <w:r w:rsidR="00610EC7" w:rsidRPr="00570FB0">
        <w:t xml:space="preserve"> to narrate and illustrate the solving of example problems. These worked examples </w:t>
      </w:r>
      <w:r w:rsidR="00610EC7">
        <w:t xml:space="preserve">would eventually </w:t>
      </w:r>
      <w:r w:rsidR="00610EC7" w:rsidRPr="00570FB0">
        <w:t>provide students with their instructor’s personalized support as they work through their Mini-Lecture documents. Students c</w:t>
      </w:r>
      <w:r w:rsidR="00610EC7">
        <w:t>ould then</w:t>
      </w:r>
      <w:r w:rsidR="00610EC7" w:rsidRPr="00570FB0">
        <w:t xml:space="preserve"> review examples on each video repeatedly as they work through the objectives from the related Mini-Lecture.</w:t>
      </w:r>
      <w:r w:rsidR="00610EC7">
        <w:t xml:space="preserve"> To further support student learning, Mary Ann prepared and integrated an animated, narrated slide-based introduction for each topic. She recorded and incorporated </w:t>
      </w:r>
      <w:proofErr w:type="spellStart"/>
      <w:r w:rsidR="00610EC7">
        <w:t>Selvi’s</w:t>
      </w:r>
      <w:proofErr w:type="spellEnd"/>
      <w:r w:rsidR="00610EC7">
        <w:t xml:space="preserve"> narrated introduction of each topic, further introducing a sense of instructor presence into the online format.</w:t>
      </w:r>
      <w:r w:rsidR="001A74C2">
        <w:t xml:space="preserve"> </w:t>
      </w:r>
    </w:p>
    <w:p w:rsidR="00610EC7" w:rsidRDefault="00610EC7" w:rsidP="00610EC7"/>
    <w:p w:rsidR="005B12F0" w:rsidRDefault="00610EC7" w:rsidP="0021042E">
      <w:r>
        <w:t xml:space="preserve">Mary Ann then utilized a template that was previously created to package the online modules which grouped each topic’s animated introduction with the instructors’ video recordings of worked examples within an easy-to-navigate interface. The resulting series of self-paced presentation packages related to each unit of the course. Within each module, students choose their own path as they navigate the instruction, opting to watch the topic’s animated introduction, or view one or all of the worked </w:t>
      </w:r>
      <w:r w:rsidR="00730F6A">
        <w:lastRenderedPageBreak/>
        <w:t>examples.  Dur</w:t>
      </w:r>
      <w:r w:rsidR="00730F6A" w:rsidRPr="001A74C2">
        <w:t xml:space="preserve">ing </w:t>
      </w:r>
      <w:r w:rsidRPr="001A74C2">
        <w:t xml:space="preserve">spring 2015, </w:t>
      </w:r>
      <w:proofErr w:type="spellStart"/>
      <w:r w:rsidRPr="001A74C2">
        <w:t>Selvi</w:t>
      </w:r>
      <w:proofErr w:type="spellEnd"/>
      <w:r w:rsidRPr="001A74C2">
        <w:t xml:space="preserve"> and Mary Ann were able to complete the entire package for Unit 1 </w:t>
      </w:r>
      <w:r w:rsidR="001A74C2" w:rsidRPr="001A74C2">
        <w:t xml:space="preserve">which included self-paced presentation of introductory materials that were then followed by worked-out examples. </w:t>
      </w:r>
      <w:r w:rsidR="00B4307A" w:rsidRPr="001A74C2">
        <w:t>Simultaneously</w:t>
      </w:r>
      <w:r w:rsidR="005B12F0" w:rsidRPr="001A74C2">
        <w:t xml:space="preserve"> during this time</w:t>
      </w:r>
      <w:r w:rsidR="001A74C2" w:rsidRPr="001A74C2">
        <w:t xml:space="preserve"> the videos</w:t>
      </w:r>
      <w:r w:rsidR="001A74C2">
        <w:t xml:space="preserve"> that were part of Unit 1 were closed captioned.</w:t>
      </w:r>
    </w:p>
    <w:p w:rsidR="005B12F0" w:rsidRDefault="005B12F0" w:rsidP="0021042E"/>
    <w:p w:rsidR="005B12F0" w:rsidRDefault="005B12F0" w:rsidP="005B12F0">
      <w:pPr>
        <w:pStyle w:val="Heading2"/>
      </w:pPr>
      <w:r>
        <w:t>Summer 2015</w:t>
      </w:r>
    </w:p>
    <w:p w:rsidR="005B12F0" w:rsidRDefault="00652B29" w:rsidP="0021042E">
      <w:r>
        <w:t>During Summer Session I, a pilot / partial implementation of the hybrid version of Math 26 was offered to students. The course was listed as a traditional residential course and class time was adjusted based upon the student’s understanding of the content. Informal feedback was collected in regards to the daily agendas, mini-lectures, and the instructional modules that were created thus far. Students liked having these learning aids in the classroom and online.</w:t>
      </w:r>
    </w:p>
    <w:p w:rsidR="001A74C2" w:rsidRDefault="001A74C2" w:rsidP="0021042E"/>
    <w:p w:rsidR="001A74C2" w:rsidRDefault="001A74C2" w:rsidP="001A74C2">
      <w:r w:rsidRPr="001A74C2">
        <w:t xml:space="preserve">During this time the presentation of introductory materials was also created for Units 2 and 3. Worked-out </w:t>
      </w:r>
      <w:proofErr w:type="spellStart"/>
      <w:r w:rsidRPr="001A74C2">
        <w:t>Doceri</w:t>
      </w:r>
      <w:proofErr w:type="spellEnd"/>
      <w:r w:rsidRPr="001A74C2">
        <w:t xml:space="preserve"> Examples with corresponding narration were done for Unit 2; however, were not posted since they were not closed captioned in time for the course.</w:t>
      </w:r>
    </w:p>
    <w:p w:rsidR="001A74C2" w:rsidRDefault="001A74C2" w:rsidP="0021042E"/>
    <w:p w:rsidR="00B54FAD" w:rsidRDefault="00B54FAD" w:rsidP="00B54FAD">
      <w:r w:rsidRPr="00B54FAD">
        <w:t xml:space="preserve">During Summer Session II, Amy and </w:t>
      </w:r>
      <w:proofErr w:type="spellStart"/>
      <w:r w:rsidRPr="00B54FAD">
        <w:t>Selvi</w:t>
      </w:r>
      <w:proofErr w:type="spellEnd"/>
      <w:r w:rsidRPr="00B54FAD">
        <w:t xml:space="preserve"> modified the daily agendas </w:t>
      </w:r>
      <w:r>
        <w:t xml:space="preserve">and the syllabus </w:t>
      </w:r>
      <w:r w:rsidRPr="00B54FAD">
        <w:t xml:space="preserve">to address the hybrid version of the course for the fall/spring semesters. </w:t>
      </w:r>
      <w:r w:rsidR="00A906E4">
        <w:t>After gathering informal feedback for students, it was decided that worksheets would not need to be created as it seemed like the students had enough information and example problems.</w:t>
      </w:r>
    </w:p>
    <w:p w:rsidR="005B12F0" w:rsidRDefault="005B12F0" w:rsidP="0021042E">
      <w:bookmarkStart w:id="0" w:name="_GoBack"/>
      <w:bookmarkEnd w:id="0"/>
    </w:p>
    <w:p w:rsidR="005B12F0" w:rsidRDefault="005B12F0" w:rsidP="005B12F0">
      <w:pPr>
        <w:pStyle w:val="Heading2"/>
      </w:pPr>
      <w:r>
        <w:t>Fall 2015</w:t>
      </w:r>
    </w:p>
    <w:p w:rsidR="00652B29" w:rsidRDefault="00B54FAD" w:rsidP="00652B29">
      <w:r w:rsidRPr="00B54FAD">
        <w:t xml:space="preserve">In September, Amy and </w:t>
      </w:r>
      <w:proofErr w:type="spellStart"/>
      <w:r w:rsidRPr="00B54FAD">
        <w:t>Selvi</w:t>
      </w:r>
      <w:proofErr w:type="spellEnd"/>
      <w:r w:rsidRPr="00B54FAD">
        <w:t xml:space="preserve"> </w:t>
      </w:r>
      <w:r w:rsidR="00652B29" w:rsidRPr="00B54FAD">
        <w:t xml:space="preserve">designed </w:t>
      </w:r>
      <w:r w:rsidRPr="00B54FAD">
        <w:t xml:space="preserve">and developed the </w:t>
      </w:r>
      <w:r w:rsidR="00652B29" w:rsidRPr="00B54FAD">
        <w:t>mid-semester survey to collect quantitative data.</w:t>
      </w:r>
      <w:r w:rsidRPr="00B54FAD">
        <w:t xml:space="preserve"> The survey was in alignment with previously conducted surveys in Math 21 and Math 22.</w:t>
      </w:r>
    </w:p>
    <w:p w:rsidR="00652B29" w:rsidRDefault="00652B29" w:rsidP="0021042E"/>
    <w:p w:rsidR="00652B29" w:rsidRDefault="00652B29" w:rsidP="0021042E">
      <w:r>
        <w:t>The h</w:t>
      </w:r>
      <w:r w:rsidRPr="00B429AB">
        <w:t xml:space="preserve">ybrid course </w:t>
      </w:r>
      <w:r>
        <w:t>was implemented</w:t>
      </w:r>
      <w:r w:rsidRPr="00B429AB">
        <w:t xml:space="preserve"> in</w:t>
      </w:r>
      <w:r>
        <w:t xml:space="preserve"> two </w:t>
      </w:r>
      <w:r w:rsidRPr="00B429AB">
        <w:t>course sections</w:t>
      </w:r>
      <w:r>
        <w:t xml:space="preserve">. This implementation required that students attend each Friday class through Exam 1. </w:t>
      </w:r>
      <w:r w:rsidRPr="00B429AB">
        <w:t>After Exam 1, students with less than a 75% on the previous exam were required to attend and the more enabled students could self-select to attend.</w:t>
      </w:r>
      <w:r w:rsidRPr="00652B29">
        <w:t xml:space="preserve"> </w:t>
      </w:r>
      <w:proofErr w:type="spellStart"/>
      <w:r>
        <w:t>Selvi</w:t>
      </w:r>
      <w:proofErr w:type="spellEnd"/>
      <w:r>
        <w:t>, closely reviewed and modified in-class activities, as well as, Friday working session activities. During the implementation, the mid-semester survey was conducted to collect the quantitative data for the report and to assess what features of the hybrid course needed refinement.</w:t>
      </w:r>
    </w:p>
    <w:p w:rsidR="00B4307A" w:rsidRDefault="00B4307A" w:rsidP="0021042E"/>
    <w:p w:rsidR="00B4307A" w:rsidRDefault="00B4307A" w:rsidP="00B4307A">
      <w:r>
        <w:t xml:space="preserve">Also during </w:t>
      </w:r>
      <w:r>
        <w:t>this time</w:t>
      </w:r>
      <w:r>
        <w:t xml:space="preserve">, the continuation of the </w:t>
      </w:r>
      <w:r>
        <w:t>finalization</w:t>
      </w:r>
      <w:r>
        <w:t xml:space="preserve"> of the </w:t>
      </w:r>
      <w:r>
        <w:t xml:space="preserve">instructional </w:t>
      </w:r>
      <w:r>
        <w:t xml:space="preserve">modules were </w:t>
      </w:r>
      <w:r>
        <w:t>completed for the remaining Units. These were posted just-in-time for students to use within the course with the exception of sections 4.1 – 4.4 and two videos for 2.5 and 2.6.</w:t>
      </w:r>
    </w:p>
    <w:p w:rsidR="001A74C2" w:rsidRDefault="001A74C2" w:rsidP="0021042E"/>
    <w:p w:rsidR="00652B29" w:rsidRDefault="00652B29" w:rsidP="00652B29">
      <w:pPr>
        <w:pStyle w:val="Heading2"/>
      </w:pPr>
      <w:r>
        <w:t>Spring 2016</w:t>
      </w:r>
    </w:p>
    <w:p w:rsidR="00B4307A" w:rsidRDefault="00B4307A" w:rsidP="0021042E">
      <w:r w:rsidRPr="00B4307A">
        <w:t xml:space="preserve">During the Winter Break, the remaining instructional modules that were listed above were finalized, as well as, the conclusion of all of the closed captioning. </w:t>
      </w:r>
    </w:p>
    <w:p w:rsidR="00B4307A" w:rsidRDefault="00B4307A" w:rsidP="0021042E"/>
    <w:p w:rsidR="00B4307A" w:rsidRPr="00B4307A" w:rsidRDefault="00B4307A" w:rsidP="0021042E">
      <w:r>
        <w:t xml:space="preserve">For </w:t>
      </w:r>
      <w:proofErr w:type="gramStart"/>
      <w:r>
        <w:t>Spring</w:t>
      </w:r>
      <w:proofErr w:type="gramEnd"/>
      <w:r>
        <w:t xml:space="preserve"> 2016, the hybrid course was offered in a complete package and is currently being implemented.</w:t>
      </w:r>
    </w:p>
    <w:p w:rsidR="00B4307A" w:rsidRPr="00AE4A8D" w:rsidRDefault="00B4307A" w:rsidP="0021042E">
      <w:pPr>
        <w:rPr>
          <w:highlight w:val="yellow"/>
        </w:rPr>
      </w:pPr>
    </w:p>
    <w:p w:rsidR="00B4307A" w:rsidRDefault="00B4307A" w:rsidP="005B12F0">
      <w:pPr>
        <w:pStyle w:val="Heading1"/>
      </w:pPr>
      <w:r>
        <w:br w:type="page"/>
      </w:r>
    </w:p>
    <w:p w:rsidR="00510BB5" w:rsidRPr="002F5625" w:rsidRDefault="00510BB5" w:rsidP="005B12F0">
      <w:pPr>
        <w:pStyle w:val="Heading1"/>
      </w:pPr>
      <w:r w:rsidRPr="002F5625">
        <w:lastRenderedPageBreak/>
        <w:t>Learning Outcomes</w:t>
      </w:r>
      <w:r w:rsidR="00D12ADE" w:rsidRPr="002F5625">
        <w:t xml:space="preserve"> &amp; Discussion</w:t>
      </w:r>
    </w:p>
    <w:p w:rsidR="002F5625" w:rsidRDefault="002F5625" w:rsidP="0021042E">
      <w:pPr>
        <w:rPr>
          <w:highlight w:val="yellow"/>
        </w:rPr>
      </w:pPr>
      <w:r w:rsidRPr="002F5625">
        <w:t xml:space="preserve">During mid-semester of </w:t>
      </w:r>
      <w:proofErr w:type="gramStart"/>
      <w:r w:rsidRPr="002F5625">
        <w:t>Fall</w:t>
      </w:r>
      <w:proofErr w:type="gramEnd"/>
      <w:r w:rsidRPr="002F5625">
        <w:t xml:space="preserve"> 2015</w:t>
      </w:r>
      <w:r w:rsidR="007D629D" w:rsidRPr="002F5625">
        <w:t>, students in the t</w:t>
      </w:r>
      <w:r w:rsidRPr="002F5625">
        <w:t>wo</w:t>
      </w:r>
      <w:r w:rsidR="007D629D" w:rsidRPr="002F5625">
        <w:t xml:space="preserve"> hybrid course sections were surveyed about the various topics of both the hybrid course method and the instructor’s teaching style.</w:t>
      </w:r>
      <w:r w:rsidR="00285C08" w:rsidRPr="002F5625">
        <w:t xml:space="preserve"> </w:t>
      </w:r>
      <w:r w:rsidR="007D629D" w:rsidRPr="002F5625">
        <w:t xml:space="preserve">Focusing on the questions asked </w:t>
      </w:r>
      <w:r w:rsidR="00CC657B" w:rsidRPr="002F5625">
        <w:t>with regard</w:t>
      </w:r>
      <w:r w:rsidR="007D629D" w:rsidRPr="002F5625">
        <w:t xml:space="preserve"> to</w:t>
      </w:r>
      <w:r w:rsidR="009F314D" w:rsidRPr="002F5625">
        <w:t xml:space="preserve"> the </w:t>
      </w:r>
      <w:r w:rsidR="009E253E" w:rsidRPr="002F5625">
        <w:t>hybrid course method, Tables 1 and 2</w:t>
      </w:r>
      <w:r w:rsidR="007D629D" w:rsidRPr="002F5625">
        <w:t xml:space="preserve"> summarize the responses for </w:t>
      </w:r>
      <w:r w:rsidR="00C85CB8" w:rsidRPr="002F5625">
        <w:t>all</w:t>
      </w:r>
      <w:r w:rsidR="007D629D" w:rsidRPr="002F5625">
        <w:t xml:space="preserve"> </w:t>
      </w:r>
      <w:r w:rsidR="00D9158B" w:rsidRPr="002F5625">
        <w:t>course sections</w:t>
      </w:r>
      <w:r w:rsidR="00AE5D96" w:rsidRPr="002F5625">
        <w:t xml:space="preserve"> where Section 00</w:t>
      </w:r>
      <w:r w:rsidR="0065385F" w:rsidRPr="002F5625">
        <w:t>1</w:t>
      </w:r>
      <w:r w:rsidR="00AE5D96" w:rsidRPr="002F5625">
        <w:t xml:space="preserve"> is labeled (</w:t>
      </w:r>
      <w:r w:rsidRPr="002F5625">
        <w:t>1) and</w:t>
      </w:r>
      <w:r w:rsidR="0065385F" w:rsidRPr="002F5625">
        <w:t xml:space="preserve"> </w:t>
      </w:r>
      <w:r w:rsidR="00AE5D96" w:rsidRPr="002F5625">
        <w:t>Section 00</w:t>
      </w:r>
      <w:r w:rsidR="0065385F" w:rsidRPr="002F5625">
        <w:t>2</w:t>
      </w:r>
      <w:r w:rsidR="00AE5D96" w:rsidRPr="002F5625">
        <w:t xml:space="preserve"> i</w:t>
      </w:r>
      <w:r w:rsidR="00AE5D96" w:rsidRPr="00B54FAD">
        <w:t>s labeled (</w:t>
      </w:r>
      <w:r w:rsidR="0065385F" w:rsidRPr="00B54FAD">
        <w:t>2</w:t>
      </w:r>
      <w:r w:rsidR="00AE5D96" w:rsidRPr="00B54FAD">
        <w:t>).</w:t>
      </w:r>
      <w:r w:rsidR="009F314D" w:rsidRPr="00B54FAD">
        <w:t xml:space="preserve"> For Section 00</w:t>
      </w:r>
      <w:r w:rsidR="005504CC" w:rsidRPr="00B54FAD">
        <w:t>1</w:t>
      </w:r>
      <w:r w:rsidR="009F314D" w:rsidRPr="00B54FAD">
        <w:t>: n</w:t>
      </w:r>
      <w:r w:rsidR="005650EE" w:rsidRPr="00B54FAD">
        <w:t xml:space="preserve"> </w:t>
      </w:r>
      <w:r w:rsidR="009F314D" w:rsidRPr="00B54FAD">
        <w:t>=</w:t>
      </w:r>
      <w:r w:rsidR="005650EE" w:rsidRPr="00B54FAD">
        <w:t xml:space="preserve"> </w:t>
      </w:r>
      <w:r w:rsidR="00B54FAD" w:rsidRPr="00B54FAD">
        <w:t>4</w:t>
      </w:r>
      <w:r w:rsidR="009F314D" w:rsidRPr="00B54FAD">
        <w:t xml:space="preserve">; </w:t>
      </w:r>
      <w:r w:rsidR="00D71BC0" w:rsidRPr="00B54FAD">
        <w:t>mid-semester</w:t>
      </w:r>
      <w:r w:rsidR="009F314D" w:rsidRPr="00B54FAD">
        <w:t xml:space="preserve"> enrollment </w:t>
      </w:r>
      <w:r w:rsidR="005650EE" w:rsidRPr="00B54FAD">
        <w:t xml:space="preserve">= </w:t>
      </w:r>
      <w:r w:rsidR="009F314D" w:rsidRPr="00B54FAD">
        <w:t>3</w:t>
      </w:r>
      <w:r w:rsidR="00B54FAD" w:rsidRPr="00B54FAD">
        <w:t>8</w:t>
      </w:r>
      <w:r w:rsidRPr="00B54FAD">
        <w:t xml:space="preserve"> and</w:t>
      </w:r>
      <w:r w:rsidR="005650EE" w:rsidRPr="00B54FAD">
        <w:t xml:space="preserve"> for Section 002: n = </w:t>
      </w:r>
      <w:r w:rsidR="00B54FAD">
        <w:t>5</w:t>
      </w:r>
      <w:r w:rsidR="00B54FAD" w:rsidRPr="00B54FAD">
        <w:t>; mid-semester enrollment = 35</w:t>
      </w:r>
      <w:r w:rsidRPr="00B54FAD">
        <w:t>.</w:t>
      </w:r>
      <w:r w:rsidR="00B54FAD" w:rsidRPr="00B54FAD">
        <w:t xml:space="preserve"> Due to the low participation numbers of the survey, it may not represent an accurate reflection.</w:t>
      </w:r>
    </w:p>
    <w:p w:rsidR="002F5625" w:rsidRDefault="002F5625" w:rsidP="0021042E">
      <w:pPr>
        <w:rPr>
          <w:highlight w:val="yellow"/>
        </w:rPr>
      </w:pPr>
    </w:p>
    <w:p w:rsidR="00AC6687" w:rsidRPr="00B54FAD" w:rsidRDefault="00AC6687" w:rsidP="0021042E">
      <w:pPr>
        <w:rPr>
          <w:b/>
        </w:rPr>
      </w:pPr>
      <w:r w:rsidRPr="00B54FAD">
        <w:rPr>
          <w:b/>
        </w:rPr>
        <w:t xml:space="preserve">Table 1. Student satisfaction with </w:t>
      </w:r>
      <w:r w:rsidR="00D9158B" w:rsidRPr="00B54FAD">
        <w:rPr>
          <w:b/>
        </w:rPr>
        <w:t>hybrid component based assignments / course content</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2214"/>
        <w:gridCol w:w="2219"/>
        <w:gridCol w:w="2214"/>
        <w:gridCol w:w="2220"/>
      </w:tblGrid>
      <w:tr w:rsidR="007A4F3D" w:rsidRPr="00652B29" w:rsidTr="001A74C2">
        <w:trPr>
          <w:tblHeader/>
        </w:trPr>
        <w:tc>
          <w:tcPr>
            <w:tcW w:w="1213" w:type="dxa"/>
            <w:tcMar>
              <w:left w:w="43" w:type="dxa"/>
              <w:right w:w="43" w:type="dxa"/>
            </w:tcMar>
            <w:vAlign w:val="center"/>
          </w:tcPr>
          <w:p w:rsidR="00D9158B" w:rsidRPr="00B54FAD" w:rsidRDefault="00D9158B" w:rsidP="00DE2CEC">
            <w:pPr>
              <w:jc w:val="center"/>
            </w:pPr>
            <w:r w:rsidRPr="00B54FAD">
              <w:t>Response</w:t>
            </w:r>
          </w:p>
        </w:tc>
        <w:tc>
          <w:tcPr>
            <w:tcW w:w="2231" w:type="dxa"/>
            <w:tcMar>
              <w:left w:w="43" w:type="dxa"/>
              <w:right w:w="43" w:type="dxa"/>
            </w:tcMar>
            <w:vAlign w:val="center"/>
          </w:tcPr>
          <w:p w:rsidR="00D9158B" w:rsidRPr="00B54FAD" w:rsidRDefault="00D9158B" w:rsidP="00DE2CEC">
            <w:pPr>
              <w:jc w:val="center"/>
            </w:pPr>
            <w:r w:rsidRPr="00B54FAD">
              <w:t>Daily Agendas are valuable.</w:t>
            </w:r>
          </w:p>
        </w:tc>
        <w:tc>
          <w:tcPr>
            <w:tcW w:w="2231" w:type="dxa"/>
            <w:tcMar>
              <w:left w:w="43" w:type="dxa"/>
              <w:right w:w="43" w:type="dxa"/>
            </w:tcMar>
            <w:vAlign w:val="center"/>
          </w:tcPr>
          <w:p w:rsidR="00D9158B" w:rsidRPr="00B54FAD" w:rsidRDefault="00FC68C2" w:rsidP="00DE2CEC">
            <w:pPr>
              <w:jc w:val="center"/>
            </w:pPr>
            <w:r>
              <w:t>Instructional Modules</w:t>
            </w:r>
            <w:r w:rsidR="00D9158B" w:rsidRPr="00B54FAD">
              <w:t xml:space="preserve"> are valuable.</w:t>
            </w:r>
          </w:p>
        </w:tc>
        <w:tc>
          <w:tcPr>
            <w:tcW w:w="2231" w:type="dxa"/>
            <w:tcMar>
              <w:left w:w="43" w:type="dxa"/>
              <w:right w:w="43" w:type="dxa"/>
            </w:tcMar>
            <w:vAlign w:val="center"/>
          </w:tcPr>
          <w:p w:rsidR="00D9158B" w:rsidRPr="00652B29" w:rsidRDefault="00FC68C2" w:rsidP="00DE2CEC">
            <w:pPr>
              <w:jc w:val="center"/>
              <w:rPr>
                <w:highlight w:val="yellow"/>
              </w:rPr>
            </w:pPr>
            <w:r w:rsidRPr="00B54FAD">
              <w:t>Mini Lectures are valuable.</w:t>
            </w:r>
          </w:p>
        </w:tc>
        <w:tc>
          <w:tcPr>
            <w:tcW w:w="2232" w:type="dxa"/>
            <w:tcMar>
              <w:left w:w="43" w:type="dxa"/>
              <w:right w:w="43" w:type="dxa"/>
            </w:tcMar>
            <w:vAlign w:val="center"/>
          </w:tcPr>
          <w:p w:rsidR="00D9158B" w:rsidRPr="00FC68C2" w:rsidRDefault="00D9158B" w:rsidP="00DE2CEC">
            <w:pPr>
              <w:jc w:val="center"/>
            </w:pPr>
            <w:r w:rsidRPr="00FC68C2">
              <w:t>Online Homework Assignments are valuable.</w:t>
            </w:r>
          </w:p>
        </w:tc>
      </w:tr>
      <w:tr w:rsidR="007A4F3D" w:rsidRPr="00652B29" w:rsidTr="0065385F">
        <w:tc>
          <w:tcPr>
            <w:tcW w:w="1213" w:type="dxa"/>
            <w:tcMar>
              <w:left w:w="43" w:type="dxa"/>
              <w:right w:w="43" w:type="dxa"/>
            </w:tcMar>
            <w:vAlign w:val="center"/>
          </w:tcPr>
          <w:p w:rsidR="00D9158B" w:rsidRPr="00B54FAD" w:rsidRDefault="00D9158B" w:rsidP="00DE2CEC">
            <w:pPr>
              <w:jc w:val="center"/>
            </w:pPr>
            <w:r w:rsidRPr="00B54FAD">
              <w:t>Strongly Agree</w:t>
            </w:r>
          </w:p>
        </w:tc>
        <w:tc>
          <w:tcPr>
            <w:tcW w:w="2231" w:type="dxa"/>
            <w:tcMar>
              <w:left w:w="43" w:type="dxa"/>
              <w:right w:w="43" w:type="dxa"/>
            </w:tcMar>
            <w:vAlign w:val="center"/>
          </w:tcPr>
          <w:p w:rsidR="0065385F" w:rsidRPr="00B54FAD" w:rsidRDefault="00B54FAD" w:rsidP="00DE2CEC">
            <w:pPr>
              <w:jc w:val="center"/>
            </w:pPr>
            <w:r w:rsidRPr="00B54FAD">
              <w:t>50</w:t>
            </w:r>
            <w:r w:rsidR="008B1DF5" w:rsidRPr="00B54FAD">
              <w:t>.0</w:t>
            </w:r>
            <w:r w:rsidR="0065385F" w:rsidRPr="00B54FAD">
              <w:t>%</w:t>
            </w:r>
            <w:r w:rsidR="00D9158B" w:rsidRPr="00B54FAD">
              <w:t xml:space="preserve"> (</w:t>
            </w:r>
            <w:r w:rsidRPr="00B54FAD">
              <w:t>1</w:t>
            </w:r>
            <w:r w:rsidR="00D9158B" w:rsidRPr="00B54FAD">
              <w:t>)</w:t>
            </w:r>
            <w:r w:rsidR="0065385F" w:rsidRPr="00B54FAD">
              <w:t>;</w:t>
            </w:r>
          </w:p>
          <w:p w:rsidR="0065385F" w:rsidRPr="00B54FAD" w:rsidRDefault="00B54FAD" w:rsidP="00B54FAD">
            <w:pPr>
              <w:jc w:val="center"/>
            </w:pPr>
            <w:r w:rsidRPr="00B54FAD">
              <w:t>33.3</w:t>
            </w:r>
            <w:r w:rsidR="0065385F" w:rsidRPr="00B54FAD">
              <w:t xml:space="preserve">% </w:t>
            </w:r>
            <w:r w:rsidR="00D71BC0" w:rsidRPr="00B54FAD">
              <w:t>(</w:t>
            </w:r>
            <w:r w:rsidRPr="00B54FAD">
              <w:t>2</w:t>
            </w:r>
            <w:r w:rsidR="00D71BC0" w:rsidRPr="00B54FAD">
              <w:t>)</w:t>
            </w:r>
            <w:r w:rsidRPr="00B54FAD">
              <w:t>.</w:t>
            </w:r>
          </w:p>
        </w:tc>
        <w:tc>
          <w:tcPr>
            <w:tcW w:w="2231" w:type="dxa"/>
            <w:tcMar>
              <w:left w:w="43" w:type="dxa"/>
              <w:right w:w="43" w:type="dxa"/>
            </w:tcMar>
            <w:vAlign w:val="center"/>
          </w:tcPr>
          <w:p w:rsidR="00B54FAD" w:rsidRPr="00B54FAD" w:rsidRDefault="00FC68C2" w:rsidP="00B54FAD">
            <w:pPr>
              <w:jc w:val="center"/>
            </w:pPr>
            <w:r>
              <w:t>5</w:t>
            </w:r>
            <w:r w:rsidR="00B54FAD" w:rsidRPr="00B54FAD">
              <w:t>0.0% (1);</w:t>
            </w:r>
          </w:p>
          <w:p w:rsidR="00D9158B" w:rsidRPr="00B54FAD" w:rsidRDefault="00FC68C2" w:rsidP="00B54FAD">
            <w:pPr>
              <w:jc w:val="center"/>
            </w:pPr>
            <w:r>
              <w:t>6</w:t>
            </w:r>
            <w:r w:rsidR="00B54FAD" w:rsidRPr="00B54FAD">
              <w:t>0.0% (2).</w:t>
            </w:r>
          </w:p>
        </w:tc>
        <w:tc>
          <w:tcPr>
            <w:tcW w:w="2231" w:type="dxa"/>
            <w:tcMar>
              <w:left w:w="43" w:type="dxa"/>
              <w:right w:w="43" w:type="dxa"/>
            </w:tcMar>
            <w:vAlign w:val="center"/>
          </w:tcPr>
          <w:p w:rsidR="00B54FAD" w:rsidRPr="00FC68C2" w:rsidRDefault="00FC68C2" w:rsidP="00B54FAD">
            <w:pPr>
              <w:jc w:val="center"/>
            </w:pPr>
            <w:r w:rsidRPr="00FC68C2">
              <w:t>50</w:t>
            </w:r>
            <w:r w:rsidR="00B54FAD" w:rsidRPr="00FC68C2">
              <w:t>.0% (1);</w:t>
            </w:r>
          </w:p>
          <w:p w:rsidR="00D9158B" w:rsidRPr="00FC68C2" w:rsidRDefault="00FC68C2" w:rsidP="00FC68C2">
            <w:pPr>
              <w:jc w:val="center"/>
            </w:pPr>
            <w:r w:rsidRPr="00FC68C2">
              <w:t>40.0</w:t>
            </w:r>
            <w:r w:rsidR="00B54FAD" w:rsidRPr="00FC68C2">
              <w:t>% (2).</w:t>
            </w:r>
          </w:p>
        </w:tc>
        <w:tc>
          <w:tcPr>
            <w:tcW w:w="2232" w:type="dxa"/>
            <w:tcMar>
              <w:left w:w="43" w:type="dxa"/>
              <w:right w:w="43" w:type="dxa"/>
            </w:tcMar>
            <w:vAlign w:val="center"/>
          </w:tcPr>
          <w:p w:rsidR="00B54FAD" w:rsidRPr="00FC68C2" w:rsidRDefault="00FC68C2" w:rsidP="00B54FAD">
            <w:pPr>
              <w:jc w:val="center"/>
            </w:pPr>
            <w:r w:rsidRPr="00FC68C2">
              <w:t>100</w:t>
            </w:r>
            <w:r w:rsidR="00B54FAD" w:rsidRPr="00FC68C2">
              <w:t>.0% (1);</w:t>
            </w:r>
          </w:p>
          <w:p w:rsidR="00D9158B" w:rsidRPr="00FC68C2" w:rsidRDefault="00FC68C2" w:rsidP="00FC68C2">
            <w:pPr>
              <w:jc w:val="center"/>
            </w:pPr>
            <w:r w:rsidRPr="00FC68C2">
              <w:t>60</w:t>
            </w:r>
            <w:r w:rsidR="00B54FAD" w:rsidRPr="00FC68C2">
              <w:t>.</w:t>
            </w:r>
            <w:r w:rsidRPr="00FC68C2">
              <w:t>0</w:t>
            </w:r>
            <w:r w:rsidR="00B54FAD" w:rsidRPr="00FC68C2">
              <w:t>% (2).</w:t>
            </w:r>
          </w:p>
        </w:tc>
      </w:tr>
      <w:tr w:rsidR="007A4F3D" w:rsidRPr="00652B29" w:rsidTr="0065385F">
        <w:tc>
          <w:tcPr>
            <w:tcW w:w="1213" w:type="dxa"/>
            <w:tcMar>
              <w:left w:w="43" w:type="dxa"/>
              <w:right w:w="43" w:type="dxa"/>
            </w:tcMar>
            <w:vAlign w:val="center"/>
          </w:tcPr>
          <w:p w:rsidR="00D9158B" w:rsidRPr="00B54FAD" w:rsidRDefault="00D9158B" w:rsidP="00DE2CEC">
            <w:pPr>
              <w:jc w:val="center"/>
            </w:pPr>
            <w:r w:rsidRPr="00B54FAD">
              <w:t>Agree</w:t>
            </w:r>
          </w:p>
        </w:tc>
        <w:tc>
          <w:tcPr>
            <w:tcW w:w="2231" w:type="dxa"/>
            <w:tcMar>
              <w:left w:w="43" w:type="dxa"/>
              <w:right w:w="43" w:type="dxa"/>
            </w:tcMar>
            <w:vAlign w:val="center"/>
          </w:tcPr>
          <w:p w:rsidR="0065385F" w:rsidRPr="00B54FAD" w:rsidRDefault="00B54FAD" w:rsidP="0065385F">
            <w:pPr>
              <w:jc w:val="center"/>
            </w:pPr>
            <w:r w:rsidRPr="00B54FAD">
              <w:t>50</w:t>
            </w:r>
            <w:r w:rsidR="008B1DF5" w:rsidRPr="00B54FAD">
              <w:t>.0</w:t>
            </w:r>
            <w:r w:rsidR="0065385F" w:rsidRPr="00B54FAD">
              <w:t>% (</w:t>
            </w:r>
            <w:r w:rsidRPr="00B54FAD">
              <w:t>1</w:t>
            </w:r>
            <w:r w:rsidR="0065385F" w:rsidRPr="00B54FAD">
              <w:t>);</w:t>
            </w:r>
          </w:p>
          <w:p w:rsidR="00D9158B" w:rsidRPr="00B54FAD" w:rsidRDefault="00B54FAD" w:rsidP="00B54FAD">
            <w:pPr>
              <w:jc w:val="center"/>
            </w:pPr>
            <w:r w:rsidRPr="00B54FAD">
              <w:t>66.6% (2).</w:t>
            </w:r>
          </w:p>
        </w:tc>
        <w:tc>
          <w:tcPr>
            <w:tcW w:w="2231" w:type="dxa"/>
            <w:tcMar>
              <w:left w:w="43" w:type="dxa"/>
              <w:right w:w="43" w:type="dxa"/>
            </w:tcMar>
            <w:vAlign w:val="center"/>
          </w:tcPr>
          <w:p w:rsidR="00B54FAD" w:rsidRPr="00B54FAD" w:rsidRDefault="00FC68C2" w:rsidP="00B54FAD">
            <w:pPr>
              <w:jc w:val="center"/>
            </w:pPr>
            <w:r>
              <w:t>25</w:t>
            </w:r>
            <w:r w:rsidR="00B54FAD" w:rsidRPr="00B54FAD">
              <w:t>.0% (1);</w:t>
            </w:r>
          </w:p>
          <w:p w:rsidR="00D9158B" w:rsidRPr="00B54FAD" w:rsidRDefault="00FC68C2" w:rsidP="00B54FAD">
            <w:pPr>
              <w:jc w:val="center"/>
            </w:pPr>
            <w:r>
              <w:t>4</w:t>
            </w:r>
            <w:r w:rsidR="00B54FAD" w:rsidRPr="00B54FAD">
              <w:t>0.0% (2).</w:t>
            </w:r>
          </w:p>
        </w:tc>
        <w:tc>
          <w:tcPr>
            <w:tcW w:w="2231" w:type="dxa"/>
            <w:tcMar>
              <w:left w:w="43" w:type="dxa"/>
              <w:right w:w="43" w:type="dxa"/>
            </w:tcMar>
            <w:vAlign w:val="center"/>
          </w:tcPr>
          <w:p w:rsidR="00B54FAD" w:rsidRPr="00FC68C2" w:rsidRDefault="00FC68C2" w:rsidP="00B54FAD">
            <w:pPr>
              <w:jc w:val="center"/>
            </w:pPr>
            <w:r w:rsidRPr="00FC68C2">
              <w:t>50</w:t>
            </w:r>
            <w:r w:rsidR="00B54FAD" w:rsidRPr="00FC68C2">
              <w:t>.0% (1);</w:t>
            </w:r>
          </w:p>
          <w:p w:rsidR="00D9158B" w:rsidRPr="00FC68C2" w:rsidRDefault="00FC68C2" w:rsidP="00B54FAD">
            <w:pPr>
              <w:jc w:val="center"/>
            </w:pPr>
            <w:r w:rsidRPr="00FC68C2">
              <w:t>40.0</w:t>
            </w:r>
            <w:r w:rsidR="00B54FAD" w:rsidRPr="00FC68C2">
              <w:t>% (2).</w:t>
            </w:r>
          </w:p>
        </w:tc>
        <w:tc>
          <w:tcPr>
            <w:tcW w:w="2232" w:type="dxa"/>
            <w:tcMar>
              <w:left w:w="43" w:type="dxa"/>
              <w:right w:w="43" w:type="dxa"/>
            </w:tcMar>
            <w:vAlign w:val="center"/>
          </w:tcPr>
          <w:p w:rsidR="00B54FAD" w:rsidRPr="00FC68C2" w:rsidRDefault="00FC68C2" w:rsidP="00B54FAD">
            <w:pPr>
              <w:jc w:val="center"/>
            </w:pPr>
            <w:r w:rsidRPr="00FC68C2">
              <w:t>0</w:t>
            </w:r>
            <w:r w:rsidR="00B54FAD" w:rsidRPr="00FC68C2">
              <w:t>.0% (1);</w:t>
            </w:r>
          </w:p>
          <w:p w:rsidR="00D9158B" w:rsidRPr="00FC68C2" w:rsidRDefault="00FC68C2" w:rsidP="00FC68C2">
            <w:pPr>
              <w:jc w:val="center"/>
            </w:pPr>
            <w:r w:rsidRPr="00FC68C2">
              <w:t>40.0</w:t>
            </w:r>
            <w:r w:rsidR="00B54FAD" w:rsidRPr="00FC68C2">
              <w:t>% (2).</w:t>
            </w:r>
          </w:p>
        </w:tc>
      </w:tr>
      <w:tr w:rsidR="007A4F3D" w:rsidRPr="00652B29" w:rsidTr="0065385F">
        <w:tc>
          <w:tcPr>
            <w:tcW w:w="1213" w:type="dxa"/>
            <w:tcMar>
              <w:left w:w="43" w:type="dxa"/>
              <w:right w:w="43" w:type="dxa"/>
            </w:tcMar>
            <w:vAlign w:val="center"/>
          </w:tcPr>
          <w:p w:rsidR="00D9158B" w:rsidRPr="00B54FAD" w:rsidRDefault="00D9158B" w:rsidP="00DE2CEC">
            <w:pPr>
              <w:jc w:val="center"/>
            </w:pPr>
            <w:r w:rsidRPr="00B54FAD">
              <w:t>Neutral</w:t>
            </w:r>
          </w:p>
        </w:tc>
        <w:tc>
          <w:tcPr>
            <w:tcW w:w="2231" w:type="dxa"/>
            <w:tcMar>
              <w:left w:w="43" w:type="dxa"/>
              <w:right w:w="43" w:type="dxa"/>
            </w:tcMar>
            <w:vAlign w:val="center"/>
          </w:tcPr>
          <w:p w:rsidR="00B54FAD" w:rsidRPr="00B54FAD" w:rsidRDefault="00B54FAD" w:rsidP="00B54FAD">
            <w:pPr>
              <w:jc w:val="center"/>
            </w:pPr>
            <w:r w:rsidRPr="00B54FAD">
              <w:t>0.0% (1);</w:t>
            </w:r>
          </w:p>
          <w:p w:rsidR="00D9158B" w:rsidRPr="00B54FAD" w:rsidRDefault="00B54FAD" w:rsidP="00B54FAD">
            <w:pPr>
              <w:jc w:val="center"/>
            </w:pPr>
            <w:r w:rsidRPr="00B54FAD">
              <w:t>0.0% (2).</w:t>
            </w:r>
          </w:p>
        </w:tc>
        <w:tc>
          <w:tcPr>
            <w:tcW w:w="2231" w:type="dxa"/>
            <w:tcMar>
              <w:left w:w="43" w:type="dxa"/>
              <w:right w:w="43" w:type="dxa"/>
            </w:tcMar>
            <w:vAlign w:val="center"/>
          </w:tcPr>
          <w:p w:rsidR="00B54FAD" w:rsidRPr="00B54FAD" w:rsidRDefault="00FC68C2" w:rsidP="00B54FAD">
            <w:pPr>
              <w:jc w:val="center"/>
            </w:pPr>
            <w:r>
              <w:t>25</w:t>
            </w:r>
            <w:r w:rsidR="00B54FAD" w:rsidRPr="00B54FAD">
              <w:t>.0% (1);</w:t>
            </w:r>
          </w:p>
          <w:p w:rsidR="00D9158B" w:rsidRPr="00B54FAD" w:rsidRDefault="00FC68C2" w:rsidP="00B54FAD">
            <w:pPr>
              <w:jc w:val="center"/>
            </w:pPr>
            <w:r>
              <w:t>0</w:t>
            </w:r>
            <w:r w:rsidR="00B54FAD" w:rsidRPr="00B54FAD">
              <w:t>0.0% (2).</w:t>
            </w:r>
          </w:p>
        </w:tc>
        <w:tc>
          <w:tcPr>
            <w:tcW w:w="2231" w:type="dxa"/>
            <w:tcMar>
              <w:left w:w="43" w:type="dxa"/>
              <w:right w:w="43" w:type="dxa"/>
            </w:tcMar>
            <w:vAlign w:val="center"/>
          </w:tcPr>
          <w:p w:rsidR="00B54FAD" w:rsidRPr="00FC68C2" w:rsidRDefault="00FC68C2" w:rsidP="00B54FAD">
            <w:pPr>
              <w:jc w:val="center"/>
            </w:pPr>
            <w:r w:rsidRPr="00FC68C2">
              <w:t>0</w:t>
            </w:r>
            <w:r w:rsidR="00B54FAD" w:rsidRPr="00FC68C2">
              <w:t>.0% (1);</w:t>
            </w:r>
          </w:p>
          <w:p w:rsidR="00D9158B" w:rsidRPr="00FC68C2" w:rsidRDefault="00FC68C2" w:rsidP="00B54FAD">
            <w:pPr>
              <w:jc w:val="center"/>
            </w:pPr>
            <w:r w:rsidRPr="00FC68C2">
              <w:t>20.0</w:t>
            </w:r>
            <w:r w:rsidR="00B54FAD" w:rsidRPr="00FC68C2">
              <w:t>% (2).</w:t>
            </w:r>
          </w:p>
        </w:tc>
        <w:tc>
          <w:tcPr>
            <w:tcW w:w="2232" w:type="dxa"/>
            <w:tcMar>
              <w:left w:w="43" w:type="dxa"/>
              <w:right w:w="43" w:type="dxa"/>
            </w:tcMar>
            <w:vAlign w:val="center"/>
          </w:tcPr>
          <w:p w:rsidR="00FC68C2" w:rsidRPr="00FC68C2" w:rsidRDefault="00FC68C2" w:rsidP="00FC68C2">
            <w:pPr>
              <w:jc w:val="center"/>
            </w:pPr>
            <w:r w:rsidRPr="00FC68C2">
              <w:t>0.0% (1);</w:t>
            </w:r>
          </w:p>
          <w:p w:rsidR="00D9158B" w:rsidRPr="00652B29" w:rsidRDefault="00FC68C2" w:rsidP="00FC68C2">
            <w:pPr>
              <w:jc w:val="center"/>
              <w:rPr>
                <w:highlight w:val="yellow"/>
              </w:rPr>
            </w:pPr>
            <w:r w:rsidRPr="00FC68C2">
              <w:t>0.0% (2).</w:t>
            </w:r>
          </w:p>
        </w:tc>
      </w:tr>
      <w:tr w:rsidR="007A4F3D" w:rsidRPr="00652B29" w:rsidTr="0065385F">
        <w:tc>
          <w:tcPr>
            <w:tcW w:w="1213" w:type="dxa"/>
            <w:tcMar>
              <w:left w:w="43" w:type="dxa"/>
              <w:right w:w="43" w:type="dxa"/>
            </w:tcMar>
            <w:vAlign w:val="center"/>
          </w:tcPr>
          <w:p w:rsidR="00D9158B" w:rsidRPr="00B54FAD" w:rsidRDefault="00D9158B" w:rsidP="00DE2CEC">
            <w:pPr>
              <w:jc w:val="center"/>
            </w:pPr>
            <w:r w:rsidRPr="00B54FAD">
              <w:t>Disagree</w:t>
            </w:r>
          </w:p>
        </w:tc>
        <w:tc>
          <w:tcPr>
            <w:tcW w:w="2231" w:type="dxa"/>
            <w:tcMar>
              <w:left w:w="43" w:type="dxa"/>
              <w:right w:w="43" w:type="dxa"/>
            </w:tcMar>
            <w:vAlign w:val="center"/>
          </w:tcPr>
          <w:p w:rsidR="00B54FAD" w:rsidRPr="00B54FAD" w:rsidRDefault="00B54FAD" w:rsidP="00B54FAD">
            <w:pPr>
              <w:jc w:val="center"/>
            </w:pPr>
            <w:r w:rsidRPr="00B54FAD">
              <w:t>0.0% (1);</w:t>
            </w:r>
          </w:p>
          <w:p w:rsidR="00D9158B" w:rsidRPr="00B54FAD" w:rsidRDefault="00B54FAD" w:rsidP="00B54FAD">
            <w:pPr>
              <w:jc w:val="center"/>
            </w:pPr>
            <w:r w:rsidRPr="00B54FAD">
              <w:t>0.0% (2).</w:t>
            </w:r>
          </w:p>
        </w:tc>
        <w:tc>
          <w:tcPr>
            <w:tcW w:w="2231" w:type="dxa"/>
            <w:tcMar>
              <w:left w:w="43" w:type="dxa"/>
              <w:right w:w="43" w:type="dxa"/>
            </w:tcMar>
            <w:vAlign w:val="center"/>
          </w:tcPr>
          <w:p w:rsidR="00B54FAD" w:rsidRPr="00B54FAD" w:rsidRDefault="00B54FAD" w:rsidP="00B54FAD">
            <w:pPr>
              <w:jc w:val="center"/>
            </w:pPr>
            <w:r w:rsidRPr="00B54FAD">
              <w:t>0.0% (1);</w:t>
            </w:r>
          </w:p>
          <w:p w:rsidR="00D9158B" w:rsidRPr="00B54FAD" w:rsidRDefault="00FC68C2" w:rsidP="00B54FAD">
            <w:pPr>
              <w:jc w:val="center"/>
            </w:pPr>
            <w:r>
              <w:t>0</w:t>
            </w:r>
            <w:r w:rsidR="00B54FAD" w:rsidRPr="00B54FAD">
              <w:t>0.0% (2).</w:t>
            </w:r>
          </w:p>
        </w:tc>
        <w:tc>
          <w:tcPr>
            <w:tcW w:w="2231" w:type="dxa"/>
            <w:tcMar>
              <w:left w:w="43" w:type="dxa"/>
              <w:right w:w="43" w:type="dxa"/>
            </w:tcMar>
            <w:vAlign w:val="center"/>
          </w:tcPr>
          <w:p w:rsidR="00B54FAD" w:rsidRPr="00FC68C2" w:rsidRDefault="00FC68C2" w:rsidP="00B54FAD">
            <w:pPr>
              <w:jc w:val="center"/>
            </w:pPr>
            <w:r w:rsidRPr="00FC68C2">
              <w:t>0</w:t>
            </w:r>
            <w:r w:rsidR="00B54FAD" w:rsidRPr="00FC68C2">
              <w:t>.0% (1);</w:t>
            </w:r>
          </w:p>
          <w:p w:rsidR="00D9158B" w:rsidRPr="00FC68C2" w:rsidRDefault="00FC68C2" w:rsidP="00B54FAD">
            <w:pPr>
              <w:jc w:val="center"/>
            </w:pPr>
            <w:r w:rsidRPr="00FC68C2">
              <w:t>0.0</w:t>
            </w:r>
            <w:r w:rsidR="00B54FAD" w:rsidRPr="00FC68C2">
              <w:t>% (2).</w:t>
            </w:r>
          </w:p>
        </w:tc>
        <w:tc>
          <w:tcPr>
            <w:tcW w:w="2232" w:type="dxa"/>
            <w:tcMar>
              <w:left w:w="43" w:type="dxa"/>
              <w:right w:w="43" w:type="dxa"/>
            </w:tcMar>
            <w:vAlign w:val="center"/>
          </w:tcPr>
          <w:p w:rsidR="00FC68C2" w:rsidRPr="00FC68C2" w:rsidRDefault="00FC68C2" w:rsidP="00FC68C2">
            <w:pPr>
              <w:jc w:val="center"/>
            </w:pPr>
            <w:r w:rsidRPr="00FC68C2">
              <w:t>0.0% (1);</w:t>
            </w:r>
          </w:p>
          <w:p w:rsidR="00D9158B" w:rsidRPr="00652B29" w:rsidRDefault="00FC68C2" w:rsidP="00FC68C2">
            <w:pPr>
              <w:jc w:val="center"/>
              <w:rPr>
                <w:highlight w:val="yellow"/>
              </w:rPr>
            </w:pPr>
            <w:r w:rsidRPr="00FC68C2">
              <w:t>0.0% (2).</w:t>
            </w:r>
          </w:p>
        </w:tc>
      </w:tr>
      <w:tr w:rsidR="007A4F3D" w:rsidRPr="00652B29" w:rsidTr="0065385F">
        <w:tc>
          <w:tcPr>
            <w:tcW w:w="1213" w:type="dxa"/>
            <w:tcMar>
              <w:left w:w="43" w:type="dxa"/>
              <w:right w:w="43" w:type="dxa"/>
            </w:tcMar>
            <w:vAlign w:val="center"/>
          </w:tcPr>
          <w:p w:rsidR="00D9158B" w:rsidRPr="00B54FAD" w:rsidRDefault="00D9158B" w:rsidP="00DE2CEC">
            <w:pPr>
              <w:jc w:val="center"/>
            </w:pPr>
            <w:r w:rsidRPr="00B54FAD">
              <w:t>Strongly Disagree</w:t>
            </w:r>
          </w:p>
        </w:tc>
        <w:tc>
          <w:tcPr>
            <w:tcW w:w="2231" w:type="dxa"/>
            <w:tcMar>
              <w:left w:w="43" w:type="dxa"/>
              <w:right w:w="43" w:type="dxa"/>
            </w:tcMar>
            <w:vAlign w:val="center"/>
          </w:tcPr>
          <w:p w:rsidR="00B54FAD" w:rsidRPr="00B54FAD" w:rsidRDefault="00B54FAD" w:rsidP="00B54FAD">
            <w:pPr>
              <w:jc w:val="center"/>
            </w:pPr>
            <w:r w:rsidRPr="00B54FAD">
              <w:t>0.0% (1);</w:t>
            </w:r>
          </w:p>
          <w:p w:rsidR="00D9158B" w:rsidRPr="00B54FAD" w:rsidRDefault="00B54FAD" w:rsidP="00B54FAD">
            <w:pPr>
              <w:jc w:val="center"/>
            </w:pPr>
            <w:r w:rsidRPr="00B54FAD">
              <w:t>0.0% (2).</w:t>
            </w:r>
          </w:p>
        </w:tc>
        <w:tc>
          <w:tcPr>
            <w:tcW w:w="2231" w:type="dxa"/>
            <w:tcMar>
              <w:left w:w="43" w:type="dxa"/>
              <w:right w:w="43" w:type="dxa"/>
            </w:tcMar>
            <w:vAlign w:val="center"/>
          </w:tcPr>
          <w:p w:rsidR="00B54FAD" w:rsidRPr="00B54FAD" w:rsidRDefault="00B54FAD" w:rsidP="00B54FAD">
            <w:pPr>
              <w:jc w:val="center"/>
            </w:pPr>
            <w:r w:rsidRPr="00B54FAD">
              <w:t>0.0% (1);</w:t>
            </w:r>
          </w:p>
          <w:p w:rsidR="00D9158B" w:rsidRPr="00B54FAD" w:rsidRDefault="00B54FAD" w:rsidP="00B54FAD">
            <w:pPr>
              <w:jc w:val="center"/>
            </w:pPr>
            <w:r w:rsidRPr="00B54FAD">
              <w:t>0.0% (2).</w:t>
            </w:r>
          </w:p>
        </w:tc>
        <w:tc>
          <w:tcPr>
            <w:tcW w:w="2231" w:type="dxa"/>
            <w:tcMar>
              <w:left w:w="43" w:type="dxa"/>
              <w:right w:w="43" w:type="dxa"/>
            </w:tcMar>
            <w:vAlign w:val="center"/>
          </w:tcPr>
          <w:p w:rsidR="00B54FAD" w:rsidRPr="00FC68C2" w:rsidRDefault="00FC68C2" w:rsidP="00B54FAD">
            <w:pPr>
              <w:jc w:val="center"/>
            </w:pPr>
            <w:r w:rsidRPr="00FC68C2">
              <w:t>0</w:t>
            </w:r>
            <w:r w:rsidR="00B54FAD" w:rsidRPr="00FC68C2">
              <w:t>.0% (1);</w:t>
            </w:r>
          </w:p>
          <w:p w:rsidR="00D9158B" w:rsidRPr="00FC68C2" w:rsidRDefault="00FC68C2" w:rsidP="00B54FAD">
            <w:pPr>
              <w:jc w:val="center"/>
            </w:pPr>
            <w:r w:rsidRPr="00FC68C2">
              <w:t>0.0</w:t>
            </w:r>
            <w:r w:rsidR="00B54FAD" w:rsidRPr="00FC68C2">
              <w:t>% (2).</w:t>
            </w:r>
          </w:p>
        </w:tc>
        <w:tc>
          <w:tcPr>
            <w:tcW w:w="2232" w:type="dxa"/>
            <w:tcMar>
              <w:left w:w="43" w:type="dxa"/>
              <w:right w:w="43" w:type="dxa"/>
            </w:tcMar>
            <w:vAlign w:val="center"/>
          </w:tcPr>
          <w:p w:rsidR="00FC68C2" w:rsidRPr="00FC68C2" w:rsidRDefault="00FC68C2" w:rsidP="00FC68C2">
            <w:pPr>
              <w:jc w:val="center"/>
            </w:pPr>
            <w:r w:rsidRPr="00FC68C2">
              <w:t>0.0% (1);</w:t>
            </w:r>
          </w:p>
          <w:p w:rsidR="00D9158B" w:rsidRPr="00652B29" w:rsidRDefault="00FC68C2" w:rsidP="00FC68C2">
            <w:pPr>
              <w:jc w:val="center"/>
              <w:rPr>
                <w:highlight w:val="yellow"/>
              </w:rPr>
            </w:pPr>
            <w:r w:rsidRPr="00FC68C2">
              <w:t>0.0% (2).</w:t>
            </w:r>
          </w:p>
        </w:tc>
      </w:tr>
      <w:tr w:rsidR="007A4F3D" w:rsidRPr="00652B29" w:rsidTr="00B54FAD">
        <w:trPr>
          <w:trHeight w:val="70"/>
        </w:trPr>
        <w:tc>
          <w:tcPr>
            <w:tcW w:w="1213" w:type="dxa"/>
            <w:tcMar>
              <w:left w:w="43" w:type="dxa"/>
              <w:right w:w="43" w:type="dxa"/>
            </w:tcMar>
            <w:vAlign w:val="center"/>
          </w:tcPr>
          <w:p w:rsidR="00D9158B" w:rsidRPr="00B54FAD" w:rsidRDefault="00D9158B" w:rsidP="00DE2CEC">
            <w:pPr>
              <w:jc w:val="center"/>
            </w:pPr>
            <w:r w:rsidRPr="00B54FAD">
              <w:t>Not Applicable</w:t>
            </w:r>
          </w:p>
        </w:tc>
        <w:tc>
          <w:tcPr>
            <w:tcW w:w="2231" w:type="dxa"/>
            <w:tcMar>
              <w:left w:w="43" w:type="dxa"/>
              <w:right w:w="43" w:type="dxa"/>
            </w:tcMar>
            <w:vAlign w:val="center"/>
          </w:tcPr>
          <w:p w:rsidR="00B54FAD" w:rsidRPr="00B54FAD" w:rsidRDefault="00B54FAD" w:rsidP="00B54FAD">
            <w:pPr>
              <w:jc w:val="center"/>
            </w:pPr>
            <w:r w:rsidRPr="00B54FAD">
              <w:t>0.0% (1);</w:t>
            </w:r>
          </w:p>
          <w:p w:rsidR="00D9158B" w:rsidRPr="00B54FAD" w:rsidRDefault="00B54FAD" w:rsidP="00B54FAD">
            <w:pPr>
              <w:jc w:val="center"/>
            </w:pPr>
            <w:r w:rsidRPr="00B54FAD">
              <w:t>0.0% (2).</w:t>
            </w:r>
          </w:p>
        </w:tc>
        <w:tc>
          <w:tcPr>
            <w:tcW w:w="2231" w:type="dxa"/>
            <w:tcMar>
              <w:left w:w="43" w:type="dxa"/>
              <w:right w:w="43" w:type="dxa"/>
            </w:tcMar>
            <w:vAlign w:val="center"/>
          </w:tcPr>
          <w:p w:rsidR="00B54FAD" w:rsidRPr="00B54FAD" w:rsidRDefault="00B54FAD" w:rsidP="00B54FAD">
            <w:pPr>
              <w:jc w:val="center"/>
            </w:pPr>
            <w:r w:rsidRPr="00B54FAD">
              <w:t>0.0% (1);</w:t>
            </w:r>
          </w:p>
          <w:p w:rsidR="00D9158B" w:rsidRPr="00B54FAD" w:rsidRDefault="00B54FAD" w:rsidP="00B54FAD">
            <w:pPr>
              <w:jc w:val="center"/>
            </w:pPr>
            <w:r w:rsidRPr="00B54FAD">
              <w:t>0.0% (2).</w:t>
            </w:r>
          </w:p>
        </w:tc>
        <w:tc>
          <w:tcPr>
            <w:tcW w:w="2231" w:type="dxa"/>
            <w:tcMar>
              <w:left w:w="43" w:type="dxa"/>
              <w:right w:w="43" w:type="dxa"/>
            </w:tcMar>
            <w:vAlign w:val="center"/>
          </w:tcPr>
          <w:p w:rsidR="00B54FAD" w:rsidRPr="00FC68C2" w:rsidRDefault="00FC68C2" w:rsidP="00B54FAD">
            <w:pPr>
              <w:jc w:val="center"/>
            </w:pPr>
            <w:r w:rsidRPr="00FC68C2">
              <w:t>0</w:t>
            </w:r>
            <w:r w:rsidR="00B54FAD" w:rsidRPr="00FC68C2">
              <w:t>.0% (1);</w:t>
            </w:r>
          </w:p>
          <w:p w:rsidR="00D9158B" w:rsidRPr="00FC68C2" w:rsidRDefault="00FC68C2" w:rsidP="00B54FAD">
            <w:pPr>
              <w:jc w:val="center"/>
            </w:pPr>
            <w:r w:rsidRPr="00FC68C2">
              <w:t>0.0</w:t>
            </w:r>
            <w:r w:rsidR="00B54FAD" w:rsidRPr="00FC68C2">
              <w:t>% (2).</w:t>
            </w:r>
          </w:p>
        </w:tc>
        <w:tc>
          <w:tcPr>
            <w:tcW w:w="2232" w:type="dxa"/>
            <w:tcMar>
              <w:left w:w="43" w:type="dxa"/>
              <w:right w:w="43" w:type="dxa"/>
            </w:tcMar>
            <w:vAlign w:val="center"/>
          </w:tcPr>
          <w:p w:rsidR="00B54FAD" w:rsidRPr="00FC68C2" w:rsidRDefault="00FC68C2" w:rsidP="00B54FAD">
            <w:pPr>
              <w:jc w:val="center"/>
            </w:pPr>
            <w:r w:rsidRPr="00FC68C2">
              <w:t>0.0</w:t>
            </w:r>
            <w:r w:rsidR="00B54FAD" w:rsidRPr="00FC68C2">
              <w:t>% (1);</w:t>
            </w:r>
          </w:p>
          <w:p w:rsidR="00D9158B" w:rsidRPr="00652B29" w:rsidRDefault="00FC68C2" w:rsidP="00B54FAD">
            <w:pPr>
              <w:jc w:val="center"/>
              <w:rPr>
                <w:highlight w:val="yellow"/>
              </w:rPr>
            </w:pPr>
            <w:r w:rsidRPr="00FC68C2">
              <w:t>0.0</w:t>
            </w:r>
            <w:r w:rsidR="00B54FAD" w:rsidRPr="00FC68C2">
              <w:t>% (2).</w:t>
            </w:r>
          </w:p>
        </w:tc>
      </w:tr>
    </w:tbl>
    <w:p w:rsidR="00D9158B" w:rsidRPr="00652B29" w:rsidRDefault="00D9158B" w:rsidP="0021042E">
      <w:pPr>
        <w:rPr>
          <w:sz w:val="6"/>
          <w:szCs w:val="6"/>
          <w:highlight w:val="yellow"/>
        </w:rPr>
      </w:pPr>
    </w:p>
    <w:p w:rsidR="009E253E" w:rsidRPr="00FC68C2" w:rsidRDefault="00AE5D96" w:rsidP="0065490A">
      <w:r w:rsidRPr="00FC68C2">
        <w:t xml:space="preserve">As identified in Table 1, the majority of students found all of the hybrid component based assignments </w:t>
      </w:r>
      <w:r w:rsidR="008B1DF5" w:rsidRPr="00FC68C2">
        <w:t xml:space="preserve">/ course content favorable </w:t>
      </w:r>
      <w:r w:rsidRPr="00FC68C2">
        <w:t xml:space="preserve">while the </w:t>
      </w:r>
      <w:r w:rsidR="009336C4" w:rsidRPr="00FC68C2">
        <w:t xml:space="preserve">small </w:t>
      </w:r>
      <w:r w:rsidRPr="00FC68C2">
        <w:t>minority of students found them neutral and/or less favorable.</w:t>
      </w:r>
      <w:r w:rsidR="00285C08" w:rsidRPr="00FC68C2">
        <w:t xml:space="preserve"> </w:t>
      </w:r>
    </w:p>
    <w:p w:rsidR="009E253E" w:rsidRPr="00652B29" w:rsidRDefault="009E253E" w:rsidP="0065490A">
      <w:pPr>
        <w:rPr>
          <w:b/>
          <w:highlight w:val="yellow"/>
        </w:rPr>
      </w:pPr>
    </w:p>
    <w:p w:rsidR="0065490A" w:rsidRPr="00FC68C2" w:rsidRDefault="0065490A" w:rsidP="00AE5D96">
      <w:pPr>
        <w:ind w:left="1530"/>
        <w:rPr>
          <w:b/>
        </w:rPr>
      </w:pPr>
      <w:r w:rsidRPr="00FC68C2">
        <w:rPr>
          <w:b/>
        </w:rPr>
        <w:t>Table 2. Student perception of active learning in the hybrid course format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9"/>
        <w:gridCol w:w="5148"/>
      </w:tblGrid>
      <w:tr w:rsidR="0065490A" w:rsidRPr="00FC68C2" w:rsidTr="001A74C2">
        <w:trPr>
          <w:tblHeader/>
          <w:jc w:val="center"/>
        </w:trPr>
        <w:tc>
          <w:tcPr>
            <w:tcW w:w="1829" w:type="dxa"/>
            <w:tcMar>
              <w:left w:w="43" w:type="dxa"/>
              <w:right w:w="43" w:type="dxa"/>
            </w:tcMar>
            <w:vAlign w:val="center"/>
          </w:tcPr>
          <w:p w:rsidR="0065490A" w:rsidRPr="00FC68C2" w:rsidRDefault="0065490A" w:rsidP="00DE2CEC">
            <w:pPr>
              <w:jc w:val="center"/>
            </w:pPr>
            <w:r w:rsidRPr="00FC68C2">
              <w:t>Response</w:t>
            </w:r>
          </w:p>
        </w:tc>
        <w:tc>
          <w:tcPr>
            <w:tcW w:w="5148" w:type="dxa"/>
            <w:tcMar>
              <w:left w:w="43" w:type="dxa"/>
              <w:right w:w="43" w:type="dxa"/>
            </w:tcMar>
            <w:vAlign w:val="center"/>
          </w:tcPr>
          <w:p w:rsidR="0065490A" w:rsidRPr="00FC68C2" w:rsidRDefault="0065490A" w:rsidP="00DE2CEC">
            <w:pPr>
              <w:jc w:val="center"/>
            </w:pPr>
            <w:r w:rsidRPr="00FC68C2">
              <w:t>This course requires students to be active participants in the teaching and learning process.</w:t>
            </w:r>
          </w:p>
        </w:tc>
      </w:tr>
      <w:tr w:rsidR="0065490A" w:rsidRPr="00FC68C2" w:rsidTr="00DE2CEC">
        <w:trPr>
          <w:jc w:val="center"/>
        </w:trPr>
        <w:tc>
          <w:tcPr>
            <w:tcW w:w="1829" w:type="dxa"/>
            <w:tcMar>
              <w:left w:w="43" w:type="dxa"/>
              <w:right w:w="43" w:type="dxa"/>
            </w:tcMar>
            <w:vAlign w:val="center"/>
          </w:tcPr>
          <w:p w:rsidR="0065490A" w:rsidRPr="00FC68C2" w:rsidRDefault="0065490A" w:rsidP="00DE2CEC">
            <w:pPr>
              <w:jc w:val="center"/>
            </w:pPr>
            <w:r w:rsidRPr="00FC68C2">
              <w:t>Always</w:t>
            </w:r>
          </w:p>
        </w:tc>
        <w:tc>
          <w:tcPr>
            <w:tcW w:w="5148" w:type="dxa"/>
            <w:tcMar>
              <w:left w:w="43" w:type="dxa"/>
              <w:right w:w="43" w:type="dxa"/>
            </w:tcMar>
            <w:vAlign w:val="center"/>
          </w:tcPr>
          <w:p w:rsidR="0065490A" w:rsidRPr="00FC68C2" w:rsidRDefault="00FC68C2" w:rsidP="00FC68C2">
            <w:pPr>
              <w:jc w:val="center"/>
            </w:pPr>
            <w:r w:rsidRPr="00FC68C2">
              <w:t>25.0% (1); 20.0</w:t>
            </w:r>
            <w:r w:rsidR="008B1DF5" w:rsidRPr="00FC68C2">
              <w:t>% (2)</w:t>
            </w:r>
          </w:p>
        </w:tc>
      </w:tr>
      <w:tr w:rsidR="0065490A" w:rsidRPr="00FC68C2" w:rsidTr="00DE2CEC">
        <w:trPr>
          <w:jc w:val="center"/>
        </w:trPr>
        <w:tc>
          <w:tcPr>
            <w:tcW w:w="1829" w:type="dxa"/>
            <w:tcMar>
              <w:left w:w="43" w:type="dxa"/>
              <w:right w:w="43" w:type="dxa"/>
            </w:tcMar>
            <w:vAlign w:val="center"/>
          </w:tcPr>
          <w:p w:rsidR="0065490A" w:rsidRPr="00FC68C2" w:rsidRDefault="0065490A" w:rsidP="00DE2CEC">
            <w:pPr>
              <w:jc w:val="center"/>
            </w:pPr>
            <w:r w:rsidRPr="00FC68C2">
              <w:t>Very Often</w:t>
            </w:r>
          </w:p>
        </w:tc>
        <w:tc>
          <w:tcPr>
            <w:tcW w:w="5148" w:type="dxa"/>
            <w:tcMar>
              <w:left w:w="43" w:type="dxa"/>
              <w:right w:w="43" w:type="dxa"/>
            </w:tcMar>
            <w:vAlign w:val="center"/>
          </w:tcPr>
          <w:p w:rsidR="0065490A" w:rsidRPr="00FC68C2" w:rsidRDefault="00FC68C2" w:rsidP="00FC68C2">
            <w:pPr>
              <w:jc w:val="center"/>
            </w:pPr>
            <w:r w:rsidRPr="00FC68C2">
              <w:t>25.0% (1); 40.0</w:t>
            </w:r>
            <w:r w:rsidR="008B1DF5" w:rsidRPr="00FC68C2">
              <w:t>% (2)</w:t>
            </w:r>
          </w:p>
        </w:tc>
      </w:tr>
      <w:tr w:rsidR="0065490A" w:rsidRPr="00FC68C2" w:rsidTr="00DE2CEC">
        <w:trPr>
          <w:jc w:val="center"/>
        </w:trPr>
        <w:tc>
          <w:tcPr>
            <w:tcW w:w="1829" w:type="dxa"/>
            <w:tcMar>
              <w:left w:w="43" w:type="dxa"/>
              <w:right w:w="43" w:type="dxa"/>
            </w:tcMar>
            <w:vAlign w:val="center"/>
          </w:tcPr>
          <w:p w:rsidR="0065490A" w:rsidRPr="00FC68C2" w:rsidRDefault="0065490A" w:rsidP="00DE2CEC">
            <w:pPr>
              <w:jc w:val="center"/>
            </w:pPr>
            <w:r w:rsidRPr="00FC68C2">
              <w:t>Often</w:t>
            </w:r>
          </w:p>
        </w:tc>
        <w:tc>
          <w:tcPr>
            <w:tcW w:w="5148" w:type="dxa"/>
            <w:tcMar>
              <w:left w:w="43" w:type="dxa"/>
              <w:right w:w="43" w:type="dxa"/>
            </w:tcMar>
            <w:vAlign w:val="center"/>
          </w:tcPr>
          <w:p w:rsidR="0065490A" w:rsidRPr="00FC68C2" w:rsidRDefault="00FC68C2" w:rsidP="00FC68C2">
            <w:pPr>
              <w:jc w:val="center"/>
            </w:pPr>
            <w:r w:rsidRPr="00FC68C2">
              <w:t>25.0% (1); 0.0</w:t>
            </w:r>
            <w:r w:rsidR="008B1DF5" w:rsidRPr="00FC68C2">
              <w:t>% (2)</w:t>
            </w:r>
          </w:p>
        </w:tc>
      </w:tr>
      <w:tr w:rsidR="0065490A" w:rsidRPr="00FC68C2" w:rsidTr="00DE2CEC">
        <w:trPr>
          <w:jc w:val="center"/>
        </w:trPr>
        <w:tc>
          <w:tcPr>
            <w:tcW w:w="1829" w:type="dxa"/>
            <w:tcMar>
              <w:left w:w="43" w:type="dxa"/>
              <w:right w:w="43" w:type="dxa"/>
            </w:tcMar>
            <w:vAlign w:val="center"/>
          </w:tcPr>
          <w:p w:rsidR="0065490A" w:rsidRPr="00FC68C2" w:rsidRDefault="0065490A" w:rsidP="00DE2CEC">
            <w:pPr>
              <w:jc w:val="center"/>
            </w:pPr>
            <w:r w:rsidRPr="00FC68C2">
              <w:t>Occasionally</w:t>
            </w:r>
          </w:p>
        </w:tc>
        <w:tc>
          <w:tcPr>
            <w:tcW w:w="5148" w:type="dxa"/>
            <w:tcMar>
              <w:left w:w="43" w:type="dxa"/>
              <w:right w:w="43" w:type="dxa"/>
            </w:tcMar>
            <w:vAlign w:val="center"/>
          </w:tcPr>
          <w:p w:rsidR="0065490A" w:rsidRPr="00FC68C2" w:rsidRDefault="00FC68C2" w:rsidP="00FC68C2">
            <w:pPr>
              <w:jc w:val="center"/>
            </w:pPr>
            <w:r w:rsidRPr="00FC68C2">
              <w:t>25</w:t>
            </w:r>
            <w:r w:rsidR="008B1DF5" w:rsidRPr="00FC68C2">
              <w:t>.0% (1);</w:t>
            </w:r>
            <w:r w:rsidRPr="00FC68C2">
              <w:t xml:space="preserve"> 40.0% (2)</w:t>
            </w:r>
          </w:p>
        </w:tc>
      </w:tr>
      <w:tr w:rsidR="0065490A" w:rsidRPr="00FC68C2" w:rsidTr="00DE2CEC">
        <w:trPr>
          <w:jc w:val="center"/>
        </w:trPr>
        <w:tc>
          <w:tcPr>
            <w:tcW w:w="1829" w:type="dxa"/>
            <w:tcMar>
              <w:left w:w="43" w:type="dxa"/>
              <w:right w:w="43" w:type="dxa"/>
            </w:tcMar>
            <w:vAlign w:val="center"/>
          </w:tcPr>
          <w:p w:rsidR="0065490A" w:rsidRPr="00FC68C2" w:rsidRDefault="0065490A" w:rsidP="00DE2CEC">
            <w:pPr>
              <w:jc w:val="center"/>
            </w:pPr>
            <w:r w:rsidRPr="00FC68C2">
              <w:t>Rarely or never</w:t>
            </w:r>
          </w:p>
        </w:tc>
        <w:tc>
          <w:tcPr>
            <w:tcW w:w="5148" w:type="dxa"/>
            <w:tcMar>
              <w:left w:w="43" w:type="dxa"/>
              <w:right w:w="43" w:type="dxa"/>
            </w:tcMar>
            <w:vAlign w:val="center"/>
          </w:tcPr>
          <w:p w:rsidR="0065490A" w:rsidRPr="00FC68C2" w:rsidRDefault="008B1DF5" w:rsidP="00FC68C2">
            <w:pPr>
              <w:jc w:val="center"/>
            </w:pPr>
            <w:r w:rsidRPr="00FC68C2">
              <w:t>00.0% (1); 00.0% (2)</w:t>
            </w:r>
          </w:p>
        </w:tc>
      </w:tr>
    </w:tbl>
    <w:p w:rsidR="0065490A" w:rsidRPr="00652B29" w:rsidRDefault="0065490A" w:rsidP="0065490A">
      <w:pPr>
        <w:rPr>
          <w:b/>
          <w:sz w:val="6"/>
          <w:szCs w:val="6"/>
          <w:highlight w:val="yellow"/>
        </w:rPr>
      </w:pPr>
    </w:p>
    <w:p w:rsidR="007D629D" w:rsidRPr="00FC68C2" w:rsidRDefault="00FC68C2" w:rsidP="0021042E">
      <w:r w:rsidRPr="00FC68C2">
        <w:t xml:space="preserve">As identified in Table 2, many of the </w:t>
      </w:r>
      <w:r w:rsidR="00AE5D96" w:rsidRPr="00FC68C2">
        <w:t>students (</w:t>
      </w:r>
      <w:r w:rsidRPr="00FC68C2">
        <w:t>75</w:t>
      </w:r>
      <w:r w:rsidR="00AE5D96" w:rsidRPr="00FC68C2">
        <w:t>%</w:t>
      </w:r>
      <w:r w:rsidRPr="00FC68C2">
        <w:t xml:space="preserve"> and 60% </w:t>
      </w:r>
      <w:r w:rsidR="00D17EEA" w:rsidRPr="00FC68C2">
        <w:t>respectively)</w:t>
      </w:r>
      <w:r w:rsidR="00AE5D96" w:rsidRPr="00FC68C2">
        <w:t xml:space="preserve"> found this course format required active learning as part of their course progression.</w:t>
      </w:r>
      <w:r w:rsidR="00285C08" w:rsidRPr="00FC68C2">
        <w:t xml:space="preserve"> </w:t>
      </w:r>
      <w:r w:rsidR="00A73496" w:rsidRPr="00FC68C2">
        <w:t>This is consistent with literature that finds when a hybrid course is designed carefully and combines the best features of in-class teaching with the best features of online learning, activ</w:t>
      </w:r>
      <w:r w:rsidR="00925863" w:rsidRPr="00FC68C2">
        <w:t>e student learning is promoted</w:t>
      </w:r>
      <w:r w:rsidR="00925863" w:rsidRPr="00FC68C2">
        <w:rPr>
          <w:noProof/>
        </w:rPr>
        <w:t xml:space="preserve"> (Riffell S. &amp;., 2005) (Lin, 2008)</w:t>
      </w:r>
      <w:r w:rsidR="00925863" w:rsidRPr="00FC68C2">
        <w:t>.</w:t>
      </w:r>
      <w:r w:rsidRPr="00FC68C2">
        <w:t xml:space="preserve"> There were a few students (25% and 40% respectively) that found the course required them to be an active learner on an occasional basis rather on a more regular basis.</w:t>
      </w:r>
    </w:p>
    <w:p w:rsidR="0065490A" w:rsidRPr="00652B29" w:rsidRDefault="0065490A" w:rsidP="0021042E">
      <w:pPr>
        <w:rPr>
          <w:highlight w:val="yellow"/>
        </w:rPr>
      </w:pPr>
    </w:p>
    <w:p w:rsidR="002F59F5" w:rsidRPr="00652B29" w:rsidRDefault="00571C6E" w:rsidP="0021042E">
      <w:pPr>
        <w:rPr>
          <w:highlight w:val="yellow"/>
        </w:rPr>
      </w:pPr>
      <w:r w:rsidRPr="002F5625">
        <w:t xml:space="preserve">After the conclusion of </w:t>
      </w:r>
      <w:proofErr w:type="gramStart"/>
      <w:r w:rsidR="00905E2D" w:rsidRPr="002F5625">
        <w:t>F</w:t>
      </w:r>
      <w:r w:rsidR="002F5625" w:rsidRPr="002F5625">
        <w:t>all</w:t>
      </w:r>
      <w:proofErr w:type="gramEnd"/>
      <w:r w:rsidR="002F5625" w:rsidRPr="002F5625">
        <w:t xml:space="preserve"> 2015</w:t>
      </w:r>
      <w:r w:rsidRPr="002F5625">
        <w:t xml:space="preserve">, quantitative data from </w:t>
      </w:r>
      <w:r w:rsidR="002F5625" w:rsidRPr="002F5625">
        <w:t xml:space="preserve">the </w:t>
      </w:r>
      <w:r w:rsidRPr="002F5625">
        <w:t xml:space="preserve">final exam grade outcomes, and final grade outcomes were </w:t>
      </w:r>
      <w:r w:rsidR="00BC1EAC" w:rsidRPr="002F5625">
        <w:t>reviewed thoroughly</w:t>
      </w:r>
      <w:r w:rsidRPr="002F5625">
        <w:t xml:space="preserve">. </w:t>
      </w:r>
      <w:r w:rsidR="002F5625" w:rsidRPr="002F5625">
        <w:t>T</w:t>
      </w:r>
      <w:r w:rsidR="00BC1EAC" w:rsidRPr="002F5625">
        <w:t xml:space="preserve">he results </w:t>
      </w:r>
      <w:r w:rsidR="002F5625" w:rsidRPr="002F5625">
        <w:t xml:space="preserve">that </w:t>
      </w:r>
      <w:r w:rsidR="00BC1EAC" w:rsidRPr="002F5625">
        <w:t>were compared</w:t>
      </w:r>
      <w:r w:rsidR="002F5625" w:rsidRPr="002F5625">
        <w:t xml:space="preserve"> included the same professor’s </w:t>
      </w:r>
      <w:proofErr w:type="gramStart"/>
      <w:r w:rsidR="002F5625" w:rsidRPr="002F5625">
        <w:t>Fall</w:t>
      </w:r>
      <w:proofErr w:type="gramEnd"/>
      <w:r w:rsidR="002F5625" w:rsidRPr="002F5625">
        <w:t xml:space="preserve"> </w:t>
      </w:r>
      <w:r w:rsidR="002F5625" w:rsidRPr="002F5625">
        <w:lastRenderedPageBreak/>
        <w:t xml:space="preserve">2014 course sections </w:t>
      </w:r>
      <w:r w:rsidR="003021E2" w:rsidRPr="002F5625">
        <w:t>which were conducted prior to the start of</w:t>
      </w:r>
      <w:r w:rsidR="00D17EEA" w:rsidRPr="002F5625">
        <w:t xml:space="preserve"> the hybrid conversion process and </w:t>
      </w:r>
      <w:r w:rsidR="003021E2" w:rsidRPr="002F5625">
        <w:t xml:space="preserve">the </w:t>
      </w:r>
      <w:r w:rsidR="00C85CB8" w:rsidRPr="002F5625">
        <w:t>F</w:t>
      </w:r>
      <w:r w:rsidR="002F5625" w:rsidRPr="002F5625">
        <w:t>all 2015</w:t>
      </w:r>
      <w:r w:rsidR="003021E2" w:rsidRPr="002F5625">
        <w:t xml:space="preserve"> hybrid course section</w:t>
      </w:r>
      <w:r w:rsidR="00D17EEA" w:rsidRPr="002F5625">
        <w:t>s.</w:t>
      </w:r>
    </w:p>
    <w:p w:rsidR="001D0B8C" w:rsidRDefault="001D0B8C" w:rsidP="002F59F5">
      <w:pPr>
        <w:rPr>
          <w:b/>
          <w:highlight w:val="yellow"/>
        </w:rPr>
      </w:pPr>
    </w:p>
    <w:p w:rsidR="004B3E16" w:rsidRPr="000061E9" w:rsidRDefault="000061E9" w:rsidP="000061E9">
      <w:pPr>
        <w:jc w:val="center"/>
      </w:pPr>
      <w:r>
        <w:rPr>
          <w:b/>
        </w:rPr>
        <w:t>Table 3</w:t>
      </w:r>
      <w:r w:rsidR="00611722" w:rsidRPr="000061E9">
        <w:rPr>
          <w:b/>
        </w:rPr>
        <w:t xml:space="preserve">. </w:t>
      </w:r>
      <w:r w:rsidR="002F59F5" w:rsidRPr="000061E9">
        <w:rPr>
          <w:b/>
        </w:rPr>
        <w:t>Student</w:t>
      </w:r>
      <w:r w:rsidR="004B3E16" w:rsidRPr="000061E9">
        <w:rPr>
          <w:b/>
        </w:rPr>
        <w:t>s</w:t>
      </w:r>
      <w:r w:rsidR="00F70D83" w:rsidRPr="000061E9">
        <w:rPr>
          <w:b/>
        </w:rPr>
        <w:t>’</w:t>
      </w:r>
      <w:r w:rsidR="002F59F5" w:rsidRPr="000061E9">
        <w:rPr>
          <w:b/>
        </w:rPr>
        <w:t xml:space="preserve"> final exam grade outcome by grade distribution fo</w:t>
      </w:r>
      <w:r w:rsidR="00905E2D" w:rsidRPr="000061E9">
        <w:rPr>
          <w:b/>
        </w:rPr>
        <w:t xml:space="preserve">r hybrid course implementation </w:t>
      </w:r>
      <w:proofErr w:type="gramStart"/>
      <w:r w:rsidR="00905E2D" w:rsidRPr="000061E9">
        <w:rPr>
          <w:b/>
        </w:rPr>
        <w:t>F</w:t>
      </w:r>
      <w:r w:rsidRPr="000061E9">
        <w:rPr>
          <w:b/>
        </w:rPr>
        <w:t>all</w:t>
      </w:r>
      <w:proofErr w:type="gramEnd"/>
      <w:r w:rsidRPr="000061E9">
        <w:rPr>
          <w:b/>
        </w:rPr>
        <w:t xml:space="preserve"> 2015</w:t>
      </w:r>
      <w:r w:rsidR="002F59F5" w:rsidRPr="000061E9">
        <w:rPr>
          <w:b/>
        </w:rPr>
        <w:t xml:space="preserve"> vs. traditional course implementation </w:t>
      </w:r>
      <w:r w:rsidR="00905E2D" w:rsidRPr="000061E9">
        <w:rPr>
          <w:b/>
        </w:rPr>
        <w:t>F</w:t>
      </w:r>
      <w:r w:rsidRPr="000061E9">
        <w:rPr>
          <w:b/>
        </w:rPr>
        <w:t>all 2014</w:t>
      </w:r>
      <w:r w:rsidR="002F59F5" w:rsidRPr="000061E9">
        <w:rPr>
          <w:b/>
        </w:rPr>
        <w:t>.</w:t>
      </w: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5"/>
        <w:gridCol w:w="1800"/>
        <w:gridCol w:w="1800"/>
        <w:gridCol w:w="1800"/>
        <w:gridCol w:w="1800"/>
      </w:tblGrid>
      <w:tr w:rsidR="000061E9" w:rsidRPr="00652B29" w:rsidTr="000061E9">
        <w:trPr>
          <w:jc w:val="center"/>
        </w:trPr>
        <w:tc>
          <w:tcPr>
            <w:tcW w:w="2425" w:type="dxa"/>
            <w:tcMar>
              <w:left w:w="43" w:type="dxa"/>
              <w:right w:w="43" w:type="dxa"/>
            </w:tcMar>
          </w:tcPr>
          <w:p w:rsidR="000061E9" w:rsidRPr="000061E9" w:rsidRDefault="000061E9" w:rsidP="00913E42">
            <w:pPr>
              <w:jc w:val="center"/>
            </w:pPr>
            <w:r w:rsidRPr="000061E9">
              <w:t>Grade distribution in percentages</w:t>
            </w:r>
          </w:p>
        </w:tc>
        <w:tc>
          <w:tcPr>
            <w:tcW w:w="1800" w:type="dxa"/>
          </w:tcPr>
          <w:p w:rsidR="000061E9" w:rsidRDefault="000061E9" w:rsidP="000061E9">
            <w:pPr>
              <w:jc w:val="center"/>
            </w:pPr>
            <w:r w:rsidRPr="000061E9">
              <w:t>Fall 2014</w:t>
            </w:r>
          </w:p>
          <w:p w:rsidR="000061E9" w:rsidRPr="00CB7D81" w:rsidRDefault="000061E9" w:rsidP="000061E9">
            <w:pPr>
              <w:jc w:val="center"/>
            </w:pPr>
            <w:r w:rsidRPr="00CB7D81">
              <w:t>Section 01</w:t>
            </w:r>
          </w:p>
          <w:p w:rsidR="000061E9" w:rsidRPr="000061E9" w:rsidRDefault="000061E9" w:rsidP="000061E9">
            <w:pPr>
              <w:jc w:val="center"/>
            </w:pPr>
            <w:r w:rsidRPr="000061E9">
              <w:t>Traditional</w:t>
            </w:r>
          </w:p>
        </w:tc>
        <w:tc>
          <w:tcPr>
            <w:tcW w:w="1800" w:type="dxa"/>
            <w:tcMar>
              <w:left w:w="43" w:type="dxa"/>
              <w:right w:w="43" w:type="dxa"/>
            </w:tcMar>
          </w:tcPr>
          <w:p w:rsidR="000061E9" w:rsidRPr="00CB7D81" w:rsidRDefault="000061E9" w:rsidP="00896904">
            <w:pPr>
              <w:jc w:val="center"/>
            </w:pPr>
            <w:r w:rsidRPr="00CB7D81">
              <w:t>Fall 2014</w:t>
            </w:r>
          </w:p>
          <w:p w:rsidR="000061E9" w:rsidRPr="00CB7D81" w:rsidRDefault="000061E9" w:rsidP="00896904">
            <w:pPr>
              <w:jc w:val="center"/>
            </w:pPr>
            <w:r w:rsidRPr="00CB7D81">
              <w:t>Section 02</w:t>
            </w:r>
          </w:p>
          <w:p w:rsidR="000061E9" w:rsidRPr="00CB7D81" w:rsidRDefault="000061E9" w:rsidP="00896904">
            <w:pPr>
              <w:jc w:val="center"/>
            </w:pPr>
            <w:r w:rsidRPr="00CB7D81">
              <w:t>Traditional</w:t>
            </w:r>
          </w:p>
        </w:tc>
        <w:tc>
          <w:tcPr>
            <w:tcW w:w="1800" w:type="dxa"/>
            <w:tcMar>
              <w:left w:w="43" w:type="dxa"/>
              <w:right w:w="43" w:type="dxa"/>
            </w:tcMar>
          </w:tcPr>
          <w:p w:rsidR="000061E9" w:rsidRPr="000061E9" w:rsidRDefault="000061E9" w:rsidP="000061E9">
            <w:pPr>
              <w:jc w:val="center"/>
            </w:pPr>
            <w:r w:rsidRPr="000061E9">
              <w:t>Fall 2015</w:t>
            </w:r>
          </w:p>
          <w:p w:rsidR="000061E9" w:rsidRPr="000061E9" w:rsidRDefault="000061E9" w:rsidP="000061E9">
            <w:pPr>
              <w:jc w:val="center"/>
            </w:pPr>
            <w:r w:rsidRPr="000061E9">
              <w:t>Section 01</w:t>
            </w:r>
          </w:p>
          <w:p w:rsidR="000061E9" w:rsidRPr="000061E9" w:rsidRDefault="000061E9" w:rsidP="000061E9">
            <w:pPr>
              <w:jc w:val="center"/>
            </w:pPr>
            <w:r w:rsidRPr="000061E9">
              <w:t>Hybrid</w:t>
            </w:r>
          </w:p>
        </w:tc>
        <w:tc>
          <w:tcPr>
            <w:tcW w:w="1800" w:type="dxa"/>
          </w:tcPr>
          <w:p w:rsidR="000061E9" w:rsidRPr="000061E9" w:rsidRDefault="000061E9" w:rsidP="000061E9">
            <w:pPr>
              <w:jc w:val="center"/>
            </w:pPr>
            <w:r w:rsidRPr="000061E9">
              <w:t>Fall 2015 Section 02</w:t>
            </w:r>
          </w:p>
          <w:p w:rsidR="000061E9" w:rsidRPr="000061E9" w:rsidRDefault="000061E9" w:rsidP="000061E9">
            <w:pPr>
              <w:jc w:val="center"/>
            </w:pPr>
            <w:r w:rsidRPr="000061E9">
              <w:t>Hybrid</w:t>
            </w:r>
          </w:p>
        </w:tc>
      </w:tr>
      <w:tr w:rsidR="000061E9" w:rsidRPr="00652B29" w:rsidTr="000061E9">
        <w:trPr>
          <w:jc w:val="center"/>
        </w:trPr>
        <w:tc>
          <w:tcPr>
            <w:tcW w:w="2425" w:type="dxa"/>
            <w:tcMar>
              <w:left w:w="43" w:type="dxa"/>
              <w:right w:w="43" w:type="dxa"/>
            </w:tcMar>
          </w:tcPr>
          <w:p w:rsidR="000061E9" w:rsidRPr="000061E9" w:rsidRDefault="000061E9" w:rsidP="000061E9">
            <w:pPr>
              <w:jc w:val="center"/>
            </w:pPr>
            <w:r w:rsidRPr="000061E9">
              <w:t>Raw Average</w:t>
            </w:r>
          </w:p>
        </w:tc>
        <w:tc>
          <w:tcPr>
            <w:tcW w:w="1800" w:type="dxa"/>
          </w:tcPr>
          <w:p w:rsidR="000061E9" w:rsidRPr="00652B29" w:rsidRDefault="00CB7D81" w:rsidP="00902565">
            <w:pPr>
              <w:jc w:val="center"/>
              <w:rPr>
                <w:highlight w:val="yellow"/>
              </w:rPr>
            </w:pPr>
            <w:r w:rsidRPr="00CB7D81">
              <w:t>77.6</w:t>
            </w:r>
            <w:r w:rsidR="000061E9" w:rsidRPr="00CB7D81">
              <w:t>%</w:t>
            </w:r>
          </w:p>
        </w:tc>
        <w:tc>
          <w:tcPr>
            <w:tcW w:w="1800" w:type="dxa"/>
            <w:tcMar>
              <w:left w:w="43" w:type="dxa"/>
              <w:right w:w="43" w:type="dxa"/>
            </w:tcMar>
          </w:tcPr>
          <w:p w:rsidR="000061E9" w:rsidRPr="00CB7D81" w:rsidRDefault="00CB7D81" w:rsidP="00CB7D81">
            <w:pPr>
              <w:jc w:val="center"/>
            </w:pPr>
            <w:r w:rsidRPr="00CB7D81">
              <w:t>7</w:t>
            </w:r>
            <w:r w:rsidR="00902565">
              <w:t>4.5</w:t>
            </w:r>
            <w:r w:rsidR="000061E9" w:rsidRPr="00CB7D81">
              <w:t>%</w:t>
            </w:r>
          </w:p>
        </w:tc>
        <w:tc>
          <w:tcPr>
            <w:tcW w:w="1800" w:type="dxa"/>
            <w:tcMar>
              <w:left w:w="43" w:type="dxa"/>
              <w:right w:w="43" w:type="dxa"/>
            </w:tcMar>
          </w:tcPr>
          <w:p w:rsidR="000061E9" w:rsidRPr="00652B29" w:rsidRDefault="000061E9" w:rsidP="00D41C87">
            <w:pPr>
              <w:jc w:val="center"/>
              <w:rPr>
                <w:highlight w:val="yellow"/>
              </w:rPr>
            </w:pPr>
            <w:r w:rsidRPr="00D41C87">
              <w:t>7</w:t>
            </w:r>
            <w:r w:rsidR="00D41C87" w:rsidRPr="00D41C87">
              <w:t>8</w:t>
            </w:r>
            <w:r w:rsidRPr="00D41C87">
              <w:t>%</w:t>
            </w:r>
          </w:p>
        </w:tc>
        <w:tc>
          <w:tcPr>
            <w:tcW w:w="1800" w:type="dxa"/>
          </w:tcPr>
          <w:p w:rsidR="000061E9" w:rsidRPr="006110BC" w:rsidRDefault="00902565" w:rsidP="00902565">
            <w:pPr>
              <w:jc w:val="center"/>
            </w:pPr>
            <w:r>
              <w:t>73.5</w:t>
            </w:r>
            <w:r w:rsidR="000061E9" w:rsidRPr="006110BC">
              <w:t>%</w:t>
            </w:r>
          </w:p>
        </w:tc>
      </w:tr>
      <w:tr w:rsidR="000061E9" w:rsidRPr="00652B29" w:rsidTr="00F23022">
        <w:trPr>
          <w:jc w:val="center"/>
        </w:trPr>
        <w:tc>
          <w:tcPr>
            <w:tcW w:w="2425" w:type="dxa"/>
            <w:tcMar>
              <w:left w:w="43" w:type="dxa"/>
              <w:right w:w="43" w:type="dxa"/>
            </w:tcMar>
          </w:tcPr>
          <w:p w:rsidR="000061E9" w:rsidRPr="000061E9" w:rsidRDefault="00B0685A" w:rsidP="00B0685A">
            <w:r>
              <w:t>A</w:t>
            </w:r>
          </w:p>
        </w:tc>
        <w:tc>
          <w:tcPr>
            <w:tcW w:w="1800" w:type="dxa"/>
          </w:tcPr>
          <w:p w:rsidR="000061E9" w:rsidRPr="00CB7D81" w:rsidRDefault="00CB7D81" w:rsidP="000061E9">
            <w:pPr>
              <w:jc w:val="center"/>
            </w:pPr>
            <w:r w:rsidRPr="00CB7D81">
              <w:t>12</w:t>
            </w:r>
          </w:p>
        </w:tc>
        <w:tc>
          <w:tcPr>
            <w:tcW w:w="1800" w:type="dxa"/>
            <w:shd w:val="clear" w:color="auto" w:fill="auto"/>
            <w:tcMar>
              <w:left w:w="43" w:type="dxa"/>
              <w:right w:w="43" w:type="dxa"/>
            </w:tcMar>
          </w:tcPr>
          <w:p w:rsidR="000061E9" w:rsidRPr="00D41C87" w:rsidRDefault="00CB7D81" w:rsidP="000061E9">
            <w:pPr>
              <w:jc w:val="center"/>
            </w:pPr>
            <w:r w:rsidRPr="00D41C87">
              <w:t>10</w:t>
            </w:r>
          </w:p>
        </w:tc>
        <w:tc>
          <w:tcPr>
            <w:tcW w:w="1800" w:type="dxa"/>
            <w:shd w:val="clear" w:color="auto" w:fill="auto"/>
            <w:tcMar>
              <w:left w:w="43" w:type="dxa"/>
              <w:right w:w="43" w:type="dxa"/>
            </w:tcMar>
          </w:tcPr>
          <w:p w:rsidR="000061E9" w:rsidRPr="00D41C87" w:rsidRDefault="00D41C87" w:rsidP="000061E9">
            <w:pPr>
              <w:jc w:val="center"/>
            </w:pPr>
            <w:r w:rsidRPr="00D41C87">
              <w:t>10</w:t>
            </w:r>
          </w:p>
        </w:tc>
        <w:tc>
          <w:tcPr>
            <w:tcW w:w="1800" w:type="dxa"/>
            <w:shd w:val="clear" w:color="auto" w:fill="auto"/>
          </w:tcPr>
          <w:p w:rsidR="000061E9" w:rsidRPr="006110BC" w:rsidRDefault="00F23022" w:rsidP="000061E9">
            <w:pPr>
              <w:jc w:val="center"/>
            </w:pPr>
            <w:r w:rsidRPr="006110BC">
              <w:t>4</w:t>
            </w:r>
          </w:p>
        </w:tc>
      </w:tr>
      <w:tr w:rsidR="000061E9" w:rsidRPr="00652B29" w:rsidTr="00F23022">
        <w:trPr>
          <w:jc w:val="center"/>
        </w:trPr>
        <w:tc>
          <w:tcPr>
            <w:tcW w:w="2425" w:type="dxa"/>
            <w:tcMar>
              <w:left w:w="43" w:type="dxa"/>
              <w:right w:w="43" w:type="dxa"/>
            </w:tcMar>
          </w:tcPr>
          <w:p w:rsidR="000061E9" w:rsidRPr="000061E9" w:rsidRDefault="000061E9" w:rsidP="00B0685A">
            <w:r w:rsidRPr="000061E9">
              <w:t>B</w:t>
            </w:r>
          </w:p>
        </w:tc>
        <w:tc>
          <w:tcPr>
            <w:tcW w:w="1800" w:type="dxa"/>
          </w:tcPr>
          <w:p w:rsidR="000061E9" w:rsidRPr="00CB7D81" w:rsidRDefault="000061E9" w:rsidP="000061E9">
            <w:pPr>
              <w:jc w:val="center"/>
            </w:pPr>
            <w:r w:rsidRPr="00CB7D81">
              <w:t>8</w:t>
            </w:r>
          </w:p>
        </w:tc>
        <w:tc>
          <w:tcPr>
            <w:tcW w:w="1800" w:type="dxa"/>
            <w:shd w:val="clear" w:color="auto" w:fill="auto"/>
            <w:tcMar>
              <w:left w:w="43" w:type="dxa"/>
              <w:right w:w="43" w:type="dxa"/>
            </w:tcMar>
          </w:tcPr>
          <w:p w:rsidR="000061E9" w:rsidRPr="00D41C87" w:rsidRDefault="00CB7D81" w:rsidP="000061E9">
            <w:pPr>
              <w:jc w:val="center"/>
            </w:pPr>
            <w:r w:rsidRPr="00D41C87">
              <w:t>4</w:t>
            </w:r>
          </w:p>
        </w:tc>
        <w:tc>
          <w:tcPr>
            <w:tcW w:w="1800" w:type="dxa"/>
            <w:shd w:val="clear" w:color="auto" w:fill="auto"/>
            <w:tcMar>
              <w:left w:w="43" w:type="dxa"/>
              <w:right w:w="43" w:type="dxa"/>
            </w:tcMar>
          </w:tcPr>
          <w:p w:rsidR="000061E9" w:rsidRPr="00D41C87" w:rsidRDefault="00D41C87" w:rsidP="000061E9">
            <w:pPr>
              <w:jc w:val="center"/>
            </w:pPr>
            <w:r w:rsidRPr="00D41C87">
              <w:t>9</w:t>
            </w:r>
          </w:p>
        </w:tc>
        <w:tc>
          <w:tcPr>
            <w:tcW w:w="1800" w:type="dxa"/>
            <w:shd w:val="clear" w:color="auto" w:fill="auto"/>
          </w:tcPr>
          <w:p w:rsidR="000061E9" w:rsidRPr="00F23022" w:rsidRDefault="000061E9" w:rsidP="000061E9">
            <w:pPr>
              <w:jc w:val="center"/>
            </w:pPr>
            <w:r w:rsidRPr="00F23022">
              <w:t>8</w:t>
            </w:r>
          </w:p>
        </w:tc>
      </w:tr>
      <w:tr w:rsidR="000061E9" w:rsidRPr="00652B29" w:rsidTr="00D41C87">
        <w:trPr>
          <w:trHeight w:val="152"/>
          <w:jc w:val="center"/>
        </w:trPr>
        <w:tc>
          <w:tcPr>
            <w:tcW w:w="2425" w:type="dxa"/>
            <w:tcMar>
              <w:left w:w="43" w:type="dxa"/>
              <w:right w:w="43" w:type="dxa"/>
            </w:tcMar>
          </w:tcPr>
          <w:p w:rsidR="000061E9" w:rsidRPr="000061E9" w:rsidRDefault="000061E9" w:rsidP="00B0685A">
            <w:r w:rsidRPr="000061E9">
              <w:t>C</w:t>
            </w:r>
          </w:p>
        </w:tc>
        <w:tc>
          <w:tcPr>
            <w:tcW w:w="1800" w:type="dxa"/>
          </w:tcPr>
          <w:p w:rsidR="000061E9" w:rsidRPr="00CB7D81" w:rsidRDefault="00CB7D81" w:rsidP="000061E9">
            <w:pPr>
              <w:jc w:val="center"/>
            </w:pPr>
            <w:r w:rsidRPr="00CB7D81">
              <w:t>4</w:t>
            </w:r>
          </w:p>
        </w:tc>
        <w:tc>
          <w:tcPr>
            <w:tcW w:w="1800" w:type="dxa"/>
            <w:shd w:val="clear" w:color="auto" w:fill="auto"/>
            <w:tcMar>
              <w:left w:w="43" w:type="dxa"/>
              <w:right w:w="43" w:type="dxa"/>
            </w:tcMar>
          </w:tcPr>
          <w:p w:rsidR="000061E9" w:rsidRPr="00D41C87" w:rsidRDefault="00CB7D81" w:rsidP="000061E9">
            <w:pPr>
              <w:jc w:val="center"/>
            </w:pPr>
            <w:r w:rsidRPr="00D41C87">
              <w:t>6</w:t>
            </w:r>
          </w:p>
        </w:tc>
        <w:tc>
          <w:tcPr>
            <w:tcW w:w="1800" w:type="dxa"/>
            <w:shd w:val="clear" w:color="auto" w:fill="auto"/>
            <w:tcMar>
              <w:left w:w="43" w:type="dxa"/>
              <w:right w:w="43" w:type="dxa"/>
            </w:tcMar>
          </w:tcPr>
          <w:p w:rsidR="000061E9" w:rsidRPr="00D41C87" w:rsidRDefault="00D41C87" w:rsidP="000061E9">
            <w:pPr>
              <w:jc w:val="center"/>
            </w:pPr>
            <w:r w:rsidRPr="00D41C87">
              <w:t>4</w:t>
            </w:r>
          </w:p>
        </w:tc>
        <w:tc>
          <w:tcPr>
            <w:tcW w:w="1800" w:type="dxa"/>
            <w:shd w:val="clear" w:color="auto" w:fill="auto"/>
          </w:tcPr>
          <w:p w:rsidR="000061E9" w:rsidRPr="00F23022" w:rsidRDefault="00F23022" w:rsidP="000061E9">
            <w:pPr>
              <w:jc w:val="center"/>
            </w:pPr>
            <w:r w:rsidRPr="00F23022">
              <w:t>10</w:t>
            </w:r>
          </w:p>
        </w:tc>
      </w:tr>
      <w:tr w:rsidR="000061E9" w:rsidRPr="00652B29" w:rsidTr="00F23022">
        <w:trPr>
          <w:jc w:val="center"/>
        </w:trPr>
        <w:tc>
          <w:tcPr>
            <w:tcW w:w="2425" w:type="dxa"/>
            <w:tcMar>
              <w:left w:w="43" w:type="dxa"/>
              <w:right w:w="43" w:type="dxa"/>
            </w:tcMar>
          </w:tcPr>
          <w:p w:rsidR="000061E9" w:rsidRPr="000061E9" w:rsidRDefault="000061E9" w:rsidP="000061E9">
            <w:r w:rsidRPr="000061E9">
              <w:t>D</w:t>
            </w:r>
          </w:p>
        </w:tc>
        <w:tc>
          <w:tcPr>
            <w:tcW w:w="1800" w:type="dxa"/>
          </w:tcPr>
          <w:p w:rsidR="000061E9" w:rsidRPr="00CB7D81" w:rsidRDefault="00CB7D81" w:rsidP="000061E9">
            <w:pPr>
              <w:jc w:val="center"/>
            </w:pPr>
            <w:r w:rsidRPr="00CB7D81">
              <w:t>5</w:t>
            </w:r>
          </w:p>
        </w:tc>
        <w:tc>
          <w:tcPr>
            <w:tcW w:w="1800" w:type="dxa"/>
            <w:shd w:val="clear" w:color="auto" w:fill="auto"/>
            <w:tcMar>
              <w:left w:w="43" w:type="dxa"/>
              <w:right w:w="43" w:type="dxa"/>
            </w:tcMar>
          </w:tcPr>
          <w:p w:rsidR="000061E9" w:rsidRPr="00D41C87" w:rsidRDefault="00CB7D81" w:rsidP="000061E9">
            <w:pPr>
              <w:jc w:val="center"/>
            </w:pPr>
            <w:r w:rsidRPr="00D41C87">
              <w:t>6</w:t>
            </w:r>
          </w:p>
        </w:tc>
        <w:tc>
          <w:tcPr>
            <w:tcW w:w="1800" w:type="dxa"/>
            <w:shd w:val="clear" w:color="auto" w:fill="auto"/>
            <w:tcMar>
              <w:left w:w="43" w:type="dxa"/>
              <w:right w:w="43" w:type="dxa"/>
            </w:tcMar>
          </w:tcPr>
          <w:p w:rsidR="000061E9" w:rsidRPr="00D41C87" w:rsidRDefault="00D41C87" w:rsidP="000061E9">
            <w:pPr>
              <w:jc w:val="center"/>
            </w:pPr>
            <w:r w:rsidRPr="00D41C87">
              <w:t>5</w:t>
            </w:r>
          </w:p>
        </w:tc>
        <w:tc>
          <w:tcPr>
            <w:tcW w:w="1800" w:type="dxa"/>
            <w:shd w:val="clear" w:color="auto" w:fill="auto"/>
          </w:tcPr>
          <w:p w:rsidR="000061E9" w:rsidRPr="00F23022" w:rsidRDefault="00F23022" w:rsidP="000061E9">
            <w:pPr>
              <w:jc w:val="center"/>
            </w:pPr>
            <w:r w:rsidRPr="00F23022">
              <w:t>8</w:t>
            </w:r>
          </w:p>
        </w:tc>
      </w:tr>
      <w:tr w:rsidR="000061E9" w:rsidRPr="00652B29" w:rsidTr="00F23022">
        <w:trPr>
          <w:jc w:val="center"/>
        </w:trPr>
        <w:tc>
          <w:tcPr>
            <w:tcW w:w="2425" w:type="dxa"/>
            <w:tcMar>
              <w:left w:w="43" w:type="dxa"/>
              <w:right w:w="43" w:type="dxa"/>
            </w:tcMar>
          </w:tcPr>
          <w:p w:rsidR="000061E9" w:rsidRPr="000061E9" w:rsidRDefault="000061E9" w:rsidP="000061E9">
            <w:r w:rsidRPr="000061E9">
              <w:t>F</w:t>
            </w:r>
          </w:p>
        </w:tc>
        <w:tc>
          <w:tcPr>
            <w:tcW w:w="1800" w:type="dxa"/>
          </w:tcPr>
          <w:p w:rsidR="000061E9" w:rsidRPr="00CB7D81" w:rsidRDefault="00CB7D81" w:rsidP="000061E9">
            <w:pPr>
              <w:jc w:val="center"/>
            </w:pPr>
            <w:r w:rsidRPr="00CB7D81">
              <w:t>7</w:t>
            </w:r>
          </w:p>
        </w:tc>
        <w:tc>
          <w:tcPr>
            <w:tcW w:w="1800" w:type="dxa"/>
            <w:shd w:val="clear" w:color="auto" w:fill="auto"/>
            <w:tcMar>
              <w:left w:w="43" w:type="dxa"/>
              <w:right w:w="43" w:type="dxa"/>
            </w:tcMar>
          </w:tcPr>
          <w:p w:rsidR="000061E9" w:rsidRPr="00D41C87" w:rsidRDefault="00CB7D81" w:rsidP="000061E9">
            <w:pPr>
              <w:jc w:val="center"/>
            </w:pPr>
            <w:r w:rsidRPr="00D41C87">
              <w:t>9</w:t>
            </w:r>
          </w:p>
        </w:tc>
        <w:tc>
          <w:tcPr>
            <w:tcW w:w="1800" w:type="dxa"/>
            <w:shd w:val="clear" w:color="auto" w:fill="auto"/>
            <w:tcMar>
              <w:left w:w="43" w:type="dxa"/>
              <w:right w:w="43" w:type="dxa"/>
            </w:tcMar>
          </w:tcPr>
          <w:p w:rsidR="000061E9" w:rsidRPr="00D41C87" w:rsidRDefault="00D41C87" w:rsidP="000061E9">
            <w:pPr>
              <w:jc w:val="center"/>
            </w:pPr>
            <w:r w:rsidRPr="00D41C87">
              <w:t>6</w:t>
            </w:r>
          </w:p>
        </w:tc>
        <w:tc>
          <w:tcPr>
            <w:tcW w:w="1800" w:type="dxa"/>
            <w:shd w:val="clear" w:color="auto" w:fill="auto"/>
          </w:tcPr>
          <w:p w:rsidR="000061E9" w:rsidRPr="00F23022" w:rsidRDefault="00F23022" w:rsidP="000061E9">
            <w:pPr>
              <w:jc w:val="center"/>
            </w:pPr>
            <w:r w:rsidRPr="00F23022">
              <w:t>2</w:t>
            </w:r>
          </w:p>
        </w:tc>
      </w:tr>
      <w:tr w:rsidR="000061E9" w:rsidRPr="00652B29" w:rsidTr="00F23022">
        <w:trPr>
          <w:trHeight w:val="377"/>
          <w:jc w:val="center"/>
        </w:trPr>
        <w:tc>
          <w:tcPr>
            <w:tcW w:w="2425" w:type="dxa"/>
            <w:tcMar>
              <w:left w:w="43" w:type="dxa"/>
              <w:right w:w="43" w:type="dxa"/>
            </w:tcMar>
          </w:tcPr>
          <w:p w:rsidR="000061E9" w:rsidRPr="000061E9" w:rsidRDefault="000061E9" w:rsidP="000061E9">
            <w:r w:rsidRPr="000061E9">
              <w:t>Total amount of students who took exam</w:t>
            </w:r>
          </w:p>
        </w:tc>
        <w:tc>
          <w:tcPr>
            <w:tcW w:w="1800" w:type="dxa"/>
          </w:tcPr>
          <w:p w:rsidR="000061E9" w:rsidRPr="00CB7D81" w:rsidRDefault="00CB7D81" w:rsidP="000061E9">
            <w:pPr>
              <w:jc w:val="center"/>
            </w:pPr>
            <w:r w:rsidRPr="00CB7D81">
              <w:t>36</w:t>
            </w:r>
          </w:p>
        </w:tc>
        <w:tc>
          <w:tcPr>
            <w:tcW w:w="1800" w:type="dxa"/>
            <w:shd w:val="clear" w:color="auto" w:fill="auto"/>
            <w:tcMar>
              <w:left w:w="43" w:type="dxa"/>
              <w:right w:w="43" w:type="dxa"/>
            </w:tcMar>
          </w:tcPr>
          <w:p w:rsidR="000061E9" w:rsidRPr="00D41C87" w:rsidRDefault="000061E9" w:rsidP="00CB7D81">
            <w:pPr>
              <w:jc w:val="center"/>
            </w:pPr>
            <w:r w:rsidRPr="00D41C87">
              <w:t>3</w:t>
            </w:r>
            <w:r w:rsidR="00CB7D81" w:rsidRPr="00D41C87">
              <w:t>5</w:t>
            </w:r>
          </w:p>
        </w:tc>
        <w:tc>
          <w:tcPr>
            <w:tcW w:w="1800" w:type="dxa"/>
            <w:shd w:val="clear" w:color="auto" w:fill="auto"/>
            <w:tcMar>
              <w:left w:w="43" w:type="dxa"/>
              <w:right w:w="43" w:type="dxa"/>
            </w:tcMar>
          </w:tcPr>
          <w:p w:rsidR="000061E9" w:rsidRPr="00D41C87" w:rsidRDefault="000061E9" w:rsidP="00D41C87">
            <w:pPr>
              <w:jc w:val="center"/>
            </w:pPr>
            <w:r w:rsidRPr="00D41C87">
              <w:t>3</w:t>
            </w:r>
            <w:r w:rsidR="00D41C87" w:rsidRPr="00D41C87">
              <w:t>4</w:t>
            </w:r>
          </w:p>
        </w:tc>
        <w:tc>
          <w:tcPr>
            <w:tcW w:w="1800" w:type="dxa"/>
            <w:shd w:val="clear" w:color="auto" w:fill="auto"/>
          </w:tcPr>
          <w:p w:rsidR="000061E9" w:rsidRPr="00F23022" w:rsidRDefault="000061E9" w:rsidP="00F23022">
            <w:pPr>
              <w:jc w:val="center"/>
            </w:pPr>
            <w:r w:rsidRPr="00F23022">
              <w:t>3</w:t>
            </w:r>
            <w:r w:rsidR="00F23022" w:rsidRPr="00F23022">
              <w:t>2</w:t>
            </w:r>
          </w:p>
        </w:tc>
      </w:tr>
    </w:tbl>
    <w:p w:rsidR="002F59F5" w:rsidRPr="00652B29" w:rsidRDefault="002F59F5" w:rsidP="0021042E">
      <w:pPr>
        <w:rPr>
          <w:sz w:val="12"/>
          <w:szCs w:val="12"/>
          <w:highlight w:val="yellow"/>
        </w:rPr>
      </w:pPr>
    </w:p>
    <w:p w:rsidR="00433526" w:rsidRDefault="00433526" w:rsidP="0021042E">
      <w:pPr>
        <w:rPr>
          <w:highlight w:val="yellow"/>
        </w:rPr>
      </w:pPr>
      <w:r w:rsidRPr="00D41C87">
        <w:t xml:space="preserve">As identified in </w:t>
      </w:r>
      <w:r w:rsidRPr="00154D9A">
        <w:t xml:space="preserve">Table </w:t>
      </w:r>
      <w:r w:rsidR="00D41C87" w:rsidRPr="00154D9A">
        <w:t>3</w:t>
      </w:r>
      <w:r w:rsidRPr="00154D9A">
        <w:t>, the students</w:t>
      </w:r>
      <w:r w:rsidR="00CB329B" w:rsidRPr="00154D9A">
        <w:t>’</w:t>
      </w:r>
      <w:r w:rsidRPr="00154D9A">
        <w:t xml:space="preserve"> final exam grade in all course sections for </w:t>
      </w:r>
      <w:proofErr w:type="gramStart"/>
      <w:r w:rsidR="00905E2D" w:rsidRPr="00154D9A">
        <w:t>F</w:t>
      </w:r>
      <w:r w:rsidRPr="00154D9A">
        <w:t>all</w:t>
      </w:r>
      <w:proofErr w:type="gramEnd"/>
      <w:r w:rsidRPr="00154D9A">
        <w:t xml:space="preserve"> 201</w:t>
      </w:r>
      <w:r w:rsidR="00D41C87" w:rsidRPr="00154D9A">
        <w:t>4</w:t>
      </w:r>
      <w:r w:rsidRPr="00154D9A">
        <w:t xml:space="preserve"> </w:t>
      </w:r>
      <w:r w:rsidR="00CB329B" w:rsidRPr="00154D9A">
        <w:t xml:space="preserve">and </w:t>
      </w:r>
      <w:r w:rsidR="00905E2D" w:rsidRPr="00154D9A">
        <w:t>F</w:t>
      </w:r>
      <w:r w:rsidRPr="00154D9A">
        <w:t>all 201</w:t>
      </w:r>
      <w:r w:rsidR="00D41C87" w:rsidRPr="00154D9A">
        <w:t>5</w:t>
      </w:r>
      <w:r w:rsidR="00CB329B" w:rsidRPr="00154D9A">
        <w:t xml:space="preserve"> were about the same</w:t>
      </w:r>
      <w:r w:rsidRPr="00154D9A">
        <w:t>.</w:t>
      </w:r>
      <w:r w:rsidR="00285C08" w:rsidRPr="00154D9A">
        <w:t xml:space="preserve"> </w:t>
      </w:r>
      <w:r w:rsidR="00AF639F" w:rsidRPr="00154D9A">
        <w:t>Taking the average / section for Fall 201</w:t>
      </w:r>
      <w:r w:rsidR="00154D9A" w:rsidRPr="00154D9A">
        <w:t>4</w:t>
      </w:r>
      <w:r w:rsidR="00AF639F" w:rsidRPr="00154D9A">
        <w:t xml:space="preserve"> and average / section for Fall 201</w:t>
      </w:r>
      <w:r w:rsidR="00154D9A" w:rsidRPr="00154D9A">
        <w:t>5</w:t>
      </w:r>
      <w:r w:rsidR="00AF639F" w:rsidRPr="00154D9A">
        <w:t xml:space="preserve"> in each category and by taking account for the various student e</w:t>
      </w:r>
      <w:r w:rsidR="00AF639F" w:rsidRPr="00902565">
        <w:t xml:space="preserve">nrollments, there was a higher percentage of A’s in the </w:t>
      </w:r>
      <w:r w:rsidR="00154D9A" w:rsidRPr="00902565">
        <w:t>traditional</w:t>
      </w:r>
      <w:r w:rsidR="00AF639F" w:rsidRPr="00902565">
        <w:t xml:space="preserve"> courses (</w:t>
      </w:r>
      <w:r w:rsidR="00154D9A" w:rsidRPr="00902565">
        <w:t>21.2</w:t>
      </w:r>
      <w:r w:rsidR="00AF639F" w:rsidRPr="00902565">
        <w:t xml:space="preserve">% hybrid vs. </w:t>
      </w:r>
      <w:r w:rsidR="00154D9A" w:rsidRPr="00902565">
        <w:t>30.9</w:t>
      </w:r>
      <w:r w:rsidR="00AF639F" w:rsidRPr="00902565">
        <w:t>% traditional).</w:t>
      </w:r>
      <w:r w:rsidR="00285C08" w:rsidRPr="00902565">
        <w:t xml:space="preserve"> </w:t>
      </w:r>
      <w:r w:rsidR="00AF639F" w:rsidRPr="00902565">
        <w:t xml:space="preserve">The </w:t>
      </w:r>
      <w:r w:rsidR="00154D9A" w:rsidRPr="00902565">
        <w:t>hybrid</w:t>
      </w:r>
      <w:r w:rsidR="00902565" w:rsidRPr="00902565">
        <w:t xml:space="preserve"> </w:t>
      </w:r>
      <w:r w:rsidR="00AF639F" w:rsidRPr="00902565">
        <w:t>course sections had a higher percentage of B’s due to less students getting A’s (</w:t>
      </w:r>
      <w:r w:rsidR="00154D9A" w:rsidRPr="00902565">
        <w:t>25.7% hybrid vs. 16.9</w:t>
      </w:r>
      <w:r w:rsidR="00AF639F" w:rsidRPr="00902565">
        <w:t>% traditional).</w:t>
      </w:r>
      <w:r w:rsidR="00902565" w:rsidRPr="00902565">
        <w:t xml:space="preserve"> </w:t>
      </w:r>
      <w:r w:rsidR="00AF639F" w:rsidRPr="00902565">
        <w:t xml:space="preserve">The rest of the averages showed </w:t>
      </w:r>
      <w:r w:rsidR="00902565" w:rsidRPr="00902565">
        <w:t>a big shift of students from getting F’s to a higher grade in the hybrid course sections. This is indicated in the grades of C’s (21.2</w:t>
      </w:r>
      <w:r w:rsidR="00AF639F" w:rsidRPr="00902565">
        <w:t xml:space="preserve">% hybrid vs. </w:t>
      </w:r>
      <w:r w:rsidR="00902565" w:rsidRPr="00902565">
        <w:t>14.1</w:t>
      </w:r>
      <w:r w:rsidR="00AF639F" w:rsidRPr="00902565">
        <w:t>% traditional), D’s (1</w:t>
      </w:r>
      <w:r w:rsidR="00902565" w:rsidRPr="00902565">
        <w:t>9.7</w:t>
      </w:r>
      <w:r w:rsidR="00AF639F" w:rsidRPr="00902565">
        <w:t xml:space="preserve">% hybrid vs. </w:t>
      </w:r>
      <w:r w:rsidR="00902565" w:rsidRPr="00902565">
        <w:t>15.5</w:t>
      </w:r>
      <w:r w:rsidR="00AF639F" w:rsidRPr="00902565">
        <w:t>% traditional), and F’s (</w:t>
      </w:r>
      <w:r w:rsidR="00902565" w:rsidRPr="00902565">
        <w:t>22.5</w:t>
      </w:r>
      <w:r w:rsidR="00AF639F" w:rsidRPr="00902565">
        <w:t xml:space="preserve">% hybrid vs. </w:t>
      </w:r>
      <w:r w:rsidR="00902565" w:rsidRPr="00902565">
        <w:t>12.1</w:t>
      </w:r>
      <w:r w:rsidR="00AF639F" w:rsidRPr="00902565">
        <w:t>% traditional).</w:t>
      </w:r>
      <w:r w:rsidR="00285C08" w:rsidRPr="00902565">
        <w:t xml:space="preserve"> </w:t>
      </w:r>
      <w:r w:rsidR="00CB329B" w:rsidRPr="00902565">
        <w:t xml:space="preserve">The raw average was slightly </w:t>
      </w:r>
      <w:r w:rsidR="00902565" w:rsidRPr="00902565">
        <w:t>was very similar in the corresponding course sections with less than a 1% difference.</w:t>
      </w:r>
    </w:p>
    <w:p w:rsidR="00D41C87" w:rsidRDefault="00D41C87" w:rsidP="0021042E">
      <w:pPr>
        <w:rPr>
          <w:highlight w:val="yellow"/>
        </w:rPr>
      </w:pPr>
    </w:p>
    <w:p w:rsidR="003F2F8D" w:rsidRPr="00B0685A" w:rsidRDefault="00611722" w:rsidP="0021042E">
      <w:pPr>
        <w:rPr>
          <w:b/>
        </w:rPr>
      </w:pPr>
      <w:r w:rsidRPr="00B0685A">
        <w:rPr>
          <w:b/>
        </w:rPr>
        <w:t xml:space="preserve">Table </w:t>
      </w:r>
      <w:r w:rsidR="000061E9" w:rsidRPr="00B0685A">
        <w:rPr>
          <w:b/>
        </w:rPr>
        <w:t>4</w:t>
      </w:r>
      <w:r w:rsidRPr="00B0685A">
        <w:rPr>
          <w:b/>
        </w:rPr>
        <w:t xml:space="preserve">. </w:t>
      </w:r>
      <w:r w:rsidR="002F59F5" w:rsidRPr="00B0685A">
        <w:rPr>
          <w:b/>
        </w:rPr>
        <w:t>Student</w:t>
      </w:r>
      <w:r w:rsidR="004B3E16" w:rsidRPr="00B0685A">
        <w:rPr>
          <w:b/>
        </w:rPr>
        <w:t>s</w:t>
      </w:r>
      <w:r w:rsidR="00F70D83" w:rsidRPr="00B0685A">
        <w:rPr>
          <w:b/>
        </w:rPr>
        <w:t>’</w:t>
      </w:r>
      <w:r w:rsidR="002F59F5" w:rsidRPr="00B0685A">
        <w:rPr>
          <w:b/>
        </w:rPr>
        <w:t xml:space="preserve"> final grade outcome by grade distribution fo</w:t>
      </w:r>
      <w:r w:rsidR="00905E2D" w:rsidRPr="00B0685A">
        <w:rPr>
          <w:b/>
        </w:rPr>
        <w:t xml:space="preserve">r hybrid course implementation </w:t>
      </w:r>
      <w:proofErr w:type="gramStart"/>
      <w:r w:rsidR="00905E2D" w:rsidRPr="00B0685A">
        <w:rPr>
          <w:b/>
        </w:rPr>
        <w:t>F</w:t>
      </w:r>
      <w:r w:rsidR="002F59F5" w:rsidRPr="00B0685A">
        <w:rPr>
          <w:b/>
        </w:rPr>
        <w:t>all</w:t>
      </w:r>
      <w:proofErr w:type="gramEnd"/>
      <w:r w:rsidR="002F59F5" w:rsidRPr="00B0685A">
        <w:rPr>
          <w:b/>
        </w:rPr>
        <w:t xml:space="preserve"> 201</w:t>
      </w:r>
      <w:r w:rsidR="00B0685A" w:rsidRPr="00B0685A">
        <w:rPr>
          <w:b/>
        </w:rPr>
        <w:t>5</w:t>
      </w:r>
      <w:r w:rsidR="002F59F5" w:rsidRPr="00B0685A">
        <w:rPr>
          <w:b/>
        </w:rPr>
        <w:t xml:space="preserve"> vs. traditional course implementation </w:t>
      </w:r>
      <w:r w:rsidR="00905E2D" w:rsidRPr="00B0685A">
        <w:rPr>
          <w:b/>
        </w:rPr>
        <w:t>F</w:t>
      </w:r>
      <w:r w:rsidR="002F59F5" w:rsidRPr="00B0685A">
        <w:rPr>
          <w:b/>
        </w:rPr>
        <w:t>all 201</w:t>
      </w:r>
      <w:r w:rsidR="00B0685A" w:rsidRPr="00B0685A">
        <w:rPr>
          <w:b/>
        </w:rPr>
        <w:t>4</w:t>
      </w:r>
      <w:r w:rsidR="002F59F5" w:rsidRPr="00B0685A">
        <w:rPr>
          <w:b/>
        </w:rPr>
        <w:t>.</w:t>
      </w: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5"/>
        <w:gridCol w:w="1800"/>
        <w:gridCol w:w="1800"/>
        <w:gridCol w:w="1800"/>
        <w:gridCol w:w="1800"/>
      </w:tblGrid>
      <w:tr w:rsidR="000061E9" w:rsidRPr="00652B29" w:rsidTr="007B5D67">
        <w:trPr>
          <w:jc w:val="center"/>
        </w:trPr>
        <w:tc>
          <w:tcPr>
            <w:tcW w:w="2425" w:type="dxa"/>
            <w:tcMar>
              <w:left w:w="43" w:type="dxa"/>
              <w:right w:w="43" w:type="dxa"/>
            </w:tcMar>
          </w:tcPr>
          <w:p w:rsidR="000061E9" w:rsidRPr="000061E9" w:rsidRDefault="000061E9" w:rsidP="007B5D67">
            <w:pPr>
              <w:jc w:val="center"/>
            </w:pPr>
            <w:r w:rsidRPr="000061E9">
              <w:t>Grade distribution in percentages</w:t>
            </w:r>
          </w:p>
        </w:tc>
        <w:tc>
          <w:tcPr>
            <w:tcW w:w="1800" w:type="dxa"/>
          </w:tcPr>
          <w:p w:rsidR="000061E9" w:rsidRPr="00B0685A" w:rsidRDefault="000061E9" w:rsidP="007B5D67">
            <w:pPr>
              <w:jc w:val="center"/>
            </w:pPr>
            <w:r w:rsidRPr="00B0685A">
              <w:t>Fall 2014</w:t>
            </w:r>
          </w:p>
          <w:p w:rsidR="000061E9" w:rsidRPr="00B0685A" w:rsidRDefault="000061E9" w:rsidP="007B5D67">
            <w:pPr>
              <w:jc w:val="center"/>
            </w:pPr>
            <w:r w:rsidRPr="00B0685A">
              <w:t>Section 01</w:t>
            </w:r>
          </w:p>
          <w:p w:rsidR="000061E9" w:rsidRPr="00B0685A" w:rsidRDefault="000061E9" w:rsidP="007B5D67">
            <w:pPr>
              <w:jc w:val="center"/>
            </w:pPr>
            <w:r w:rsidRPr="00B0685A">
              <w:t>Traditional</w:t>
            </w:r>
          </w:p>
        </w:tc>
        <w:tc>
          <w:tcPr>
            <w:tcW w:w="1800" w:type="dxa"/>
            <w:tcMar>
              <w:left w:w="43" w:type="dxa"/>
              <w:right w:w="43" w:type="dxa"/>
            </w:tcMar>
          </w:tcPr>
          <w:p w:rsidR="000061E9" w:rsidRPr="00B0685A" w:rsidRDefault="000061E9" w:rsidP="007B5D67">
            <w:pPr>
              <w:jc w:val="center"/>
            </w:pPr>
            <w:r w:rsidRPr="00B0685A">
              <w:t>Fall 2014</w:t>
            </w:r>
          </w:p>
          <w:p w:rsidR="000061E9" w:rsidRPr="00B0685A" w:rsidRDefault="000061E9" w:rsidP="007B5D67">
            <w:pPr>
              <w:jc w:val="center"/>
            </w:pPr>
            <w:r w:rsidRPr="00B0685A">
              <w:t>Section 02</w:t>
            </w:r>
          </w:p>
          <w:p w:rsidR="000061E9" w:rsidRPr="00B0685A" w:rsidRDefault="000061E9" w:rsidP="007B5D67">
            <w:pPr>
              <w:jc w:val="center"/>
            </w:pPr>
            <w:r w:rsidRPr="00B0685A">
              <w:t>Traditional</w:t>
            </w:r>
          </w:p>
        </w:tc>
        <w:tc>
          <w:tcPr>
            <w:tcW w:w="1800" w:type="dxa"/>
            <w:tcMar>
              <w:left w:w="43" w:type="dxa"/>
              <w:right w:w="43" w:type="dxa"/>
            </w:tcMar>
          </w:tcPr>
          <w:p w:rsidR="000061E9" w:rsidRPr="000061E9" w:rsidRDefault="000061E9" w:rsidP="007B5D67">
            <w:pPr>
              <w:jc w:val="center"/>
            </w:pPr>
            <w:r w:rsidRPr="000061E9">
              <w:t>Fall 2015</w:t>
            </w:r>
          </w:p>
          <w:p w:rsidR="000061E9" w:rsidRPr="000061E9" w:rsidRDefault="000061E9" w:rsidP="007B5D67">
            <w:pPr>
              <w:jc w:val="center"/>
            </w:pPr>
            <w:r w:rsidRPr="000061E9">
              <w:t>Section 01</w:t>
            </w:r>
          </w:p>
          <w:p w:rsidR="000061E9" w:rsidRPr="000061E9" w:rsidRDefault="000061E9" w:rsidP="007B5D67">
            <w:pPr>
              <w:jc w:val="center"/>
            </w:pPr>
            <w:r w:rsidRPr="000061E9">
              <w:t>Hybrid</w:t>
            </w:r>
          </w:p>
        </w:tc>
        <w:tc>
          <w:tcPr>
            <w:tcW w:w="1800" w:type="dxa"/>
          </w:tcPr>
          <w:p w:rsidR="000061E9" w:rsidRPr="000061E9" w:rsidRDefault="000061E9" w:rsidP="007B5D67">
            <w:pPr>
              <w:jc w:val="center"/>
            </w:pPr>
            <w:r w:rsidRPr="000061E9">
              <w:t>Fall 2015 Section 02</w:t>
            </w:r>
          </w:p>
          <w:p w:rsidR="000061E9" w:rsidRPr="000061E9" w:rsidRDefault="000061E9" w:rsidP="007B5D67">
            <w:pPr>
              <w:jc w:val="center"/>
            </w:pPr>
            <w:r w:rsidRPr="000061E9">
              <w:t>Hybrid</w:t>
            </w:r>
          </w:p>
        </w:tc>
      </w:tr>
      <w:tr w:rsidR="000061E9" w:rsidRPr="00652B29" w:rsidTr="007B5D67">
        <w:trPr>
          <w:jc w:val="center"/>
        </w:trPr>
        <w:tc>
          <w:tcPr>
            <w:tcW w:w="2425" w:type="dxa"/>
            <w:tcMar>
              <w:left w:w="43" w:type="dxa"/>
              <w:right w:w="43" w:type="dxa"/>
            </w:tcMar>
          </w:tcPr>
          <w:p w:rsidR="000061E9" w:rsidRPr="00B0685A" w:rsidRDefault="000061E9" w:rsidP="000061E9">
            <w:r w:rsidRPr="00B0685A">
              <w:t>A (A; A-)</w:t>
            </w:r>
          </w:p>
        </w:tc>
        <w:tc>
          <w:tcPr>
            <w:tcW w:w="1800" w:type="dxa"/>
          </w:tcPr>
          <w:p w:rsidR="000061E9" w:rsidRPr="00B0685A" w:rsidRDefault="00B0685A" w:rsidP="000061E9">
            <w:pPr>
              <w:jc w:val="center"/>
            </w:pPr>
            <w:r w:rsidRPr="00B0685A">
              <w:t>11</w:t>
            </w:r>
          </w:p>
        </w:tc>
        <w:tc>
          <w:tcPr>
            <w:tcW w:w="1800" w:type="dxa"/>
            <w:shd w:val="clear" w:color="auto" w:fill="auto"/>
            <w:tcMar>
              <w:left w:w="43" w:type="dxa"/>
              <w:right w:w="43" w:type="dxa"/>
            </w:tcMar>
          </w:tcPr>
          <w:p w:rsidR="000061E9" w:rsidRPr="00B0685A" w:rsidRDefault="00B0685A" w:rsidP="000061E9">
            <w:pPr>
              <w:jc w:val="center"/>
            </w:pPr>
            <w:r w:rsidRPr="00B0685A">
              <w:t>10</w:t>
            </w:r>
          </w:p>
        </w:tc>
        <w:tc>
          <w:tcPr>
            <w:tcW w:w="1800" w:type="dxa"/>
            <w:shd w:val="clear" w:color="auto" w:fill="auto"/>
            <w:tcMar>
              <w:left w:w="43" w:type="dxa"/>
              <w:right w:w="43" w:type="dxa"/>
            </w:tcMar>
          </w:tcPr>
          <w:p w:rsidR="000061E9" w:rsidRPr="0038332A" w:rsidRDefault="0038332A" w:rsidP="000061E9">
            <w:pPr>
              <w:jc w:val="center"/>
            </w:pPr>
            <w:r w:rsidRPr="0038332A">
              <w:t>11</w:t>
            </w:r>
          </w:p>
        </w:tc>
        <w:tc>
          <w:tcPr>
            <w:tcW w:w="1800" w:type="dxa"/>
          </w:tcPr>
          <w:p w:rsidR="000061E9" w:rsidRPr="0038332A" w:rsidRDefault="0038332A" w:rsidP="000061E9">
            <w:pPr>
              <w:jc w:val="center"/>
            </w:pPr>
            <w:r w:rsidRPr="0038332A">
              <w:t>6</w:t>
            </w:r>
          </w:p>
        </w:tc>
      </w:tr>
      <w:tr w:rsidR="000061E9" w:rsidRPr="00652B29" w:rsidTr="007B5D67">
        <w:trPr>
          <w:jc w:val="center"/>
        </w:trPr>
        <w:tc>
          <w:tcPr>
            <w:tcW w:w="2425" w:type="dxa"/>
            <w:tcMar>
              <w:left w:w="43" w:type="dxa"/>
              <w:right w:w="43" w:type="dxa"/>
            </w:tcMar>
          </w:tcPr>
          <w:p w:rsidR="000061E9" w:rsidRPr="00B0685A" w:rsidRDefault="000061E9" w:rsidP="000061E9">
            <w:r w:rsidRPr="00B0685A">
              <w:t>B (B+; B; B-)</w:t>
            </w:r>
          </w:p>
        </w:tc>
        <w:tc>
          <w:tcPr>
            <w:tcW w:w="1800" w:type="dxa"/>
          </w:tcPr>
          <w:p w:rsidR="000061E9" w:rsidRPr="00B0685A" w:rsidRDefault="00B0685A" w:rsidP="000061E9">
            <w:pPr>
              <w:jc w:val="center"/>
            </w:pPr>
            <w:r w:rsidRPr="00B0685A">
              <w:t>10</w:t>
            </w:r>
          </w:p>
        </w:tc>
        <w:tc>
          <w:tcPr>
            <w:tcW w:w="1800" w:type="dxa"/>
            <w:shd w:val="clear" w:color="auto" w:fill="auto"/>
            <w:tcMar>
              <w:left w:w="43" w:type="dxa"/>
              <w:right w:w="43" w:type="dxa"/>
            </w:tcMar>
          </w:tcPr>
          <w:p w:rsidR="000061E9" w:rsidRPr="00B0685A" w:rsidRDefault="00B0685A" w:rsidP="000061E9">
            <w:pPr>
              <w:jc w:val="center"/>
            </w:pPr>
            <w:r w:rsidRPr="00B0685A">
              <w:t>9</w:t>
            </w:r>
          </w:p>
        </w:tc>
        <w:tc>
          <w:tcPr>
            <w:tcW w:w="1800" w:type="dxa"/>
            <w:shd w:val="clear" w:color="auto" w:fill="auto"/>
            <w:tcMar>
              <w:left w:w="43" w:type="dxa"/>
              <w:right w:w="43" w:type="dxa"/>
            </w:tcMar>
          </w:tcPr>
          <w:p w:rsidR="000061E9" w:rsidRPr="0038332A" w:rsidRDefault="000061E9" w:rsidP="000061E9">
            <w:pPr>
              <w:jc w:val="center"/>
            </w:pPr>
            <w:r w:rsidRPr="0038332A">
              <w:t>11</w:t>
            </w:r>
          </w:p>
        </w:tc>
        <w:tc>
          <w:tcPr>
            <w:tcW w:w="1800" w:type="dxa"/>
          </w:tcPr>
          <w:p w:rsidR="000061E9" w:rsidRPr="0038332A" w:rsidRDefault="0038332A" w:rsidP="0038332A">
            <w:pPr>
              <w:jc w:val="center"/>
            </w:pPr>
            <w:r w:rsidRPr="0038332A">
              <w:t>12</w:t>
            </w:r>
          </w:p>
        </w:tc>
      </w:tr>
      <w:tr w:rsidR="000061E9" w:rsidRPr="00652B29" w:rsidTr="007B5D67">
        <w:trPr>
          <w:jc w:val="center"/>
        </w:trPr>
        <w:tc>
          <w:tcPr>
            <w:tcW w:w="2425" w:type="dxa"/>
            <w:tcMar>
              <w:left w:w="43" w:type="dxa"/>
              <w:right w:w="43" w:type="dxa"/>
            </w:tcMar>
          </w:tcPr>
          <w:p w:rsidR="000061E9" w:rsidRPr="00B0685A" w:rsidRDefault="000061E9" w:rsidP="000061E9">
            <w:r w:rsidRPr="00B0685A">
              <w:t>C (C+; C)</w:t>
            </w:r>
          </w:p>
        </w:tc>
        <w:tc>
          <w:tcPr>
            <w:tcW w:w="1800" w:type="dxa"/>
          </w:tcPr>
          <w:p w:rsidR="000061E9" w:rsidRPr="00B0685A" w:rsidRDefault="00B0685A" w:rsidP="000061E9">
            <w:pPr>
              <w:jc w:val="center"/>
            </w:pPr>
            <w:r w:rsidRPr="00B0685A">
              <w:t>9</w:t>
            </w:r>
          </w:p>
        </w:tc>
        <w:tc>
          <w:tcPr>
            <w:tcW w:w="1800" w:type="dxa"/>
            <w:shd w:val="clear" w:color="auto" w:fill="auto"/>
            <w:tcMar>
              <w:left w:w="43" w:type="dxa"/>
              <w:right w:w="43" w:type="dxa"/>
            </w:tcMar>
          </w:tcPr>
          <w:p w:rsidR="000061E9" w:rsidRPr="00B0685A" w:rsidRDefault="00B0685A" w:rsidP="000061E9">
            <w:pPr>
              <w:jc w:val="center"/>
            </w:pPr>
            <w:r w:rsidRPr="00B0685A">
              <w:t>8</w:t>
            </w:r>
          </w:p>
        </w:tc>
        <w:tc>
          <w:tcPr>
            <w:tcW w:w="1800" w:type="dxa"/>
            <w:shd w:val="clear" w:color="auto" w:fill="auto"/>
            <w:tcMar>
              <w:left w:w="43" w:type="dxa"/>
              <w:right w:w="43" w:type="dxa"/>
            </w:tcMar>
          </w:tcPr>
          <w:p w:rsidR="000061E9" w:rsidRPr="0038332A" w:rsidRDefault="0038332A" w:rsidP="000061E9">
            <w:pPr>
              <w:jc w:val="center"/>
            </w:pPr>
            <w:r w:rsidRPr="0038332A">
              <w:t>6</w:t>
            </w:r>
          </w:p>
        </w:tc>
        <w:tc>
          <w:tcPr>
            <w:tcW w:w="1800" w:type="dxa"/>
          </w:tcPr>
          <w:p w:rsidR="000061E9" w:rsidRPr="0038332A" w:rsidRDefault="0038332A" w:rsidP="000061E9">
            <w:pPr>
              <w:jc w:val="center"/>
            </w:pPr>
            <w:r w:rsidRPr="0038332A">
              <w:t>11</w:t>
            </w:r>
          </w:p>
        </w:tc>
      </w:tr>
      <w:tr w:rsidR="000061E9" w:rsidRPr="00652B29" w:rsidTr="007B5D67">
        <w:trPr>
          <w:jc w:val="center"/>
        </w:trPr>
        <w:tc>
          <w:tcPr>
            <w:tcW w:w="2425" w:type="dxa"/>
            <w:tcMar>
              <w:left w:w="43" w:type="dxa"/>
              <w:right w:w="43" w:type="dxa"/>
            </w:tcMar>
          </w:tcPr>
          <w:p w:rsidR="000061E9" w:rsidRPr="00B0685A" w:rsidRDefault="000061E9" w:rsidP="000061E9">
            <w:r w:rsidRPr="00B0685A">
              <w:t>D</w:t>
            </w:r>
          </w:p>
        </w:tc>
        <w:tc>
          <w:tcPr>
            <w:tcW w:w="1800" w:type="dxa"/>
          </w:tcPr>
          <w:p w:rsidR="000061E9" w:rsidRPr="00B0685A" w:rsidRDefault="00B0685A" w:rsidP="000061E9">
            <w:pPr>
              <w:jc w:val="center"/>
            </w:pPr>
            <w:r w:rsidRPr="00B0685A">
              <w:t>2</w:t>
            </w:r>
          </w:p>
        </w:tc>
        <w:tc>
          <w:tcPr>
            <w:tcW w:w="1800" w:type="dxa"/>
            <w:shd w:val="clear" w:color="auto" w:fill="auto"/>
            <w:tcMar>
              <w:left w:w="43" w:type="dxa"/>
              <w:right w:w="43" w:type="dxa"/>
            </w:tcMar>
          </w:tcPr>
          <w:p w:rsidR="000061E9" w:rsidRPr="00B0685A" w:rsidRDefault="00B0685A" w:rsidP="000061E9">
            <w:pPr>
              <w:jc w:val="center"/>
            </w:pPr>
            <w:r w:rsidRPr="00B0685A">
              <w:t>6</w:t>
            </w:r>
          </w:p>
        </w:tc>
        <w:tc>
          <w:tcPr>
            <w:tcW w:w="1800" w:type="dxa"/>
            <w:shd w:val="clear" w:color="auto" w:fill="auto"/>
            <w:tcMar>
              <w:left w:w="43" w:type="dxa"/>
              <w:right w:w="43" w:type="dxa"/>
            </w:tcMar>
          </w:tcPr>
          <w:p w:rsidR="000061E9" w:rsidRPr="0038332A" w:rsidRDefault="0038332A" w:rsidP="000061E9">
            <w:pPr>
              <w:jc w:val="center"/>
            </w:pPr>
            <w:r w:rsidRPr="0038332A">
              <w:t>3</w:t>
            </w:r>
          </w:p>
        </w:tc>
        <w:tc>
          <w:tcPr>
            <w:tcW w:w="1800" w:type="dxa"/>
          </w:tcPr>
          <w:p w:rsidR="000061E9" w:rsidRPr="0038332A" w:rsidRDefault="0038332A" w:rsidP="000061E9">
            <w:pPr>
              <w:jc w:val="center"/>
            </w:pPr>
            <w:r w:rsidRPr="0038332A">
              <w:t>2</w:t>
            </w:r>
          </w:p>
        </w:tc>
      </w:tr>
      <w:tr w:rsidR="000061E9" w:rsidRPr="00652B29" w:rsidTr="007B5D67">
        <w:trPr>
          <w:jc w:val="center"/>
        </w:trPr>
        <w:tc>
          <w:tcPr>
            <w:tcW w:w="2425" w:type="dxa"/>
            <w:tcMar>
              <w:left w:w="43" w:type="dxa"/>
              <w:right w:w="43" w:type="dxa"/>
            </w:tcMar>
          </w:tcPr>
          <w:p w:rsidR="000061E9" w:rsidRPr="00B0685A" w:rsidRDefault="000061E9" w:rsidP="000061E9">
            <w:r w:rsidRPr="00B0685A">
              <w:t>F</w:t>
            </w:r>
          </w:p>
        </w:tc>
        <w:tc>
          <w:tcPr>
            <w:tcW w:w="1800" w:type="dxa"/>
          </w:tcPr>
          <w:p w:rsidR="000061E9" w:rsidRPr="00B0685A" w:rsidRDefault="00B0685A" w:rsidP="000061E9">
            <w:pPr>
              <w:jc w:val="center"/>
            </w:pPr>
            <w:r w:rsidRPr="00B0685A">
              <w:t>4</w:t>
            </w:r>
          </w:p>
        </w:tc>
        <w:tc>
          <w:tcPr>
            <w:tcW w:w="1800" w:type="dxa"/>
            <w:shd w:val="clear" w:color="auto" w:fill="auto"/>
            <w:tcMar>
              <w:left w:w="43" w:type="dxa"/>
              <w:right w:w="43" w:type="dxa"/>
            </w:tcMar>
          </w:tcPr>
          <w:p w:rsidR="000061E9" w:rsidRPr="00B0685A" w:rsidRDefault="00B0685A" w:rsidP="000061E9">
            <w:pPr>
              <w:jc w:val="center"/>
            </w:pPr>
            <w:r w:rsidRPr="00B0685A">
              <w:t>2</w:t>
            </w:r>
          </w:p>
        </w:tc>
        <w:tc>
          <w:tcPr>
            <w:tcW w:w="1800" w:type="dxa"/>
            <w:shd w:val="clear" w:color="auto" w:fill="auto"/>
            <w:tcMar>
              <w:left w:w="43" w:type="dxa"/>
              <w:right w:w="43" w:type="dxa"/>
            </w:tcMar>
          </w:tcPr>
          <w:p w:rsidR="000061E9" w:rsidRPr="0038332A" w:rsidRDefault="0038332A" w:rsidP="000061E9">
            <w:pPr>
              <w:jc w:val="center"/>
            </w:pPr>
            <w:r w:rsidRPr="0038332A">
              <w:t>7</w:t>
            </w:r>
          </w:p>
        </w:tc>
        <w:tc>
          <w:tcPr>
            <w:tcW w:w="1800" w:type="dxa"/>
          </w:tcPr>
          <w:p w:rsidR="000061E9" w:rsidRPr="0038332A" w:rsidRDefault="0038332A" w:rsidP="000061E9">
            <w:pPr>
              <w:jc w:val="center"/>
            </w:pPr>
            <w:r w:rsidRPr="0038332A">
              <w:t>4</w:t>
            </w:r>
          </w:p>
        </w:tc>
      </w:tr>
      <w:tr w:rsidR="000061E9" w:rsidRPr="00652B29" w:rsidTr="007B5D67">
        <w:trPr>
          <w:trHeight w:val="377"/>
          <w:jc w:val="center"/>
        </w:trPr>
        <w:tc>
          <w:tcPr>
            <w:tcW w:w="2425" w:type="dxa"/>
            <w:tcMar>
              <w:left w:w="43" w:type="dxa"/>
              <w:right w:w="43" w:type="dxa"/>
            </w:tcMar>
          </w:tcPr>
          <w:p w:rsidR="000061E9" w:rsidRPr="00B0685A" w:rsidRDefault="000061E9" w:rsidP="000061E9">
            <w:r w:rsidRPr="00B0685A">
              <w:t>Total student enrollment (minus W’s, WN’s and DF’s)</w:t>
            </w:r>
          </w:p>
        </w:tc>
        <w:tc>
          <w:tcPr>
            <w:tcW w:w="1800" w:type="dxa"/>
          </w:tcPr>
          <w:p w:rsidR="000061E9" w:rsidRPr="00B0685A" w:rsidRDefault="000061E9" w:rsidP="00B0685A">
            <w:pPr>
              <w:jc w:val="center"/>
            </w:pPr>
            <w:r w:rsidRPr="00B0685A">
              <w:t>3</w:t>
            </w:r>
            <w:r w:rsidR="00B0685A" w:rsidRPr="00B0685A">
              <w:t>6</w:t>
            </w:r>
          </w:p>
        </w:tc>
        <w:tc>
          <w:tcPr>
            <w:tcW w:w="1800" w:type="dxa"/>
            <w:shd w:val="clear" w:color="auto" w:fill="auto"/>
            <w:tcMar>
              <w:left w:w="43" w:type="dxa"/>
              <w:right w:w="43" w:type="dxa"/>
            </w:tcMar>
          </w:tcPr>
          <w:p w:rsidR="000061E9" w:rsidRPr="00B0685A" w:rsidRDefault="000061E9" w:rsidP="000061E9">
            <w:pPr>
              <w:jc w:val="center"/>
            </w:pPr>
            <w:r w:rsidRPr="00B0685A">
              <w:t>35</w:t>
            </w:r>
          </w:p>
        </w:tc>
        <w:tc>
          <w:tcPr>
            <w:tcW w:w="1800" w:type="dxa"/>
            <w:shd w:val="clear" w:color="auto" w:fill="auto"/>
            <w:tcMar>
              <w:left w:w="43" w:type="dxa"/>
              <w:right w:w="43" w:type="dxa"/>
            </w:tcMar>
          </w:tcPr>
          <w:p w:rsidR="000061E9" w:rsidRPr="0038332A" w:rsidRDefault="0038332A" w:rsidP="000061E9">
            <w:pPr>
              <w:jc w:val="center"/>
            </w:pPr>
            <w:r w:rsidRPr="0038332A">
              <w:t>38</w:t>
            </w:r>
          </w:p>
        </w:tc>
        <w:tc>
          <w:tcPr>
            <w:tcW w:w="1800" w:type="dxa"/>
          </w:tcPr>
          <w:p w:rsidR="000061E9" w:rsidRPr="0038332A" w:rsidRDefault="0038332A" w:rsidP="000061E9">
            <w:pPr>
              <w:jc w:val="center"/>
            </w:pPr>
            <w:r w:rsidRPr="0038332A">
              <w:t>35</w:t>
            </w:r>
          </w:p>
        </w:tc>
      </w:tr>
      <w:tr w:rsidR="000061E9" w:rsidRPr="00652B29" w:rsidTr="00B0685A">
        <w:trPr>
          <w:trHeight w:val="683"/>
          <w:jc w:val="center"/>
        </w:trPr>
        <w:tc>
          <w:tcPr>
            <w:tcW w:w="2425" w:type="dxa"/>
            <w:tcMar>
              <w:left w:w="43" w:type="dxa"/>
              <w:right w:w="43" w:type="dxa"/>
            </w:tcMar>
          </w:tcPr>
          <w:p w:rsidR="000061E9" w:rsidRPr="00B0685A" w:rsidRDefault="000061E9" w:rsidP="000061E9">
            <w:r w:rsidRPr="00B0685A">
              <w:t>Number of W’s, WN’s and DF’s per course</w:t>
            </w:r>
          </w:p>
        </w:tc>
        <w:tc>
          <w:tcPr>
            <w:tcW w:w="1800" w:type="dxa"/>
          </w:tcPr>
          <w:p w:rsidR="000061E9" w:rsidRPr="00B0685A" w:rsidRDefault="00B0685A" w:rsidP="000061E9">
            <w:pPr>
              <w:jc w:val="center"/>
            </w:pPr>
            <w:r w:rsidRPr="00B0685A">
              <w:t>W – 0</w:t>
            </w:r>
          </w:p>
          <w:p w:rsidR="000061E9" w:rsidRPr="00B0685A" w:rsidRDefault="000061E9" w:rsidP="000061E9">
            <w:pPr>
              <w:jc w:val="center"/>
            </w:pPr>
            <w:r w:rsidRPr="00B0685A">
              <w:t xml:space="preserve">WN – </w:t>
            </w:r>
            <w:r w:rsidR="00B0685A" w:rsidRPr="00B0685A">
              <w:t>2</w:t>
            </w:r>
          </w:p>
          <w:p w:rsidR="000061E9" w:rsidRPr="00B0685A" w:rsidRDefault="000061E9" w:rsidP="000061E9">
            <w:pPr>
              <w:jc w:val="center"/>
            </w:pPr>
            <w:r w:rsidRPr="00B0685A">
              <w:t>DF – 0</w:t>
            </w:r>
          </w:p>
        </w:tc>
        <w:tc>
          <w:tcPr>
            <w:tcW w:w="1800" w:type="dxa"/>
            <w:shd w:val="clear" w:color="auto" w:fill="auto"/>
            <w:tcMar>
              <w:left w:w="43" w:type="dxa"/>
              <w:right w:w="43" w:type="dxa"/>
            </w:tcMar>
          </w:tcPr>
          <w:p w:rsidR="000061E9" w:rsidRPr="00B0685A" w:rsidRDefault="000061E9" w:rsidP="000061E9">
            <w:pPr>
              <w:jc w:val="center"/>
            </w:pPr>
            <w:r w:rsidRPr="00B0685A">
              <w:t>W – 0</w:t>
            </w:r>
          </w:p>
          <w:p w:rsidR="000061E9" w:rsidRPr="00B0685A" w:rsidRDefault="000061E9" w:rsidP="000061E9">
            <w:pPr>
              <w:jc w:val="center"/>
            </w:pPr>
            <w:r w:rsidRPr="00B0685A">
              <w:t xml:space="preserve">WN – </w:t>
            </w:r>
            <w:r w:rsidR="00B0685A" w:rsidRPr="00B0685A">
              <w:t>3</w:t>
            </w:r>
          </w:p>
          <w:p w:rsidR="000061E9" w:rsidRPr="00B0685A" w:rsidRDefault="000061E9" w:rsidP="000061E9">
            <w:pPr>
              <w:jc w:val="center"/>
            </w:pPr>
            <w:r w:rsidRPr="00B0685A">
              <w:t>DF – 0</w:t>
            </w:r>
          </w:p>
        </w:tc>
        <w:tc>
          <w:tcPr>
            <w:tcW w:w="1800" w:type="dxa"/>
            <w:shd w:val="clear" w:color="auto" w:fill="auto"/>
            <w:tcMar>
              <w:left w:w="43" w:type="dxa"/>
              <w:right w:w="43" w:type="dxa"/>
            </w:tcMar>
          </w:tcPr>
          <w:p w:rsidR="000061E9" w:rsidRPr="0038332A" w:rsidRDefault="000061E9" w:rsidP="000061E9">
            <w:pPr>
              <w:jc w:val="center"/>
            </w:pPr>
            <w:r w:rsidRPr="0038332A">
              <w:t xml:space="preserve">W – </w:t>
            </w:r>
            <w:r w:rsidR="0038332A" w:rsidRPr="0038332A">
              <w:t>1</w:t>
            </w:r>
          </w:p>
          <w:p w:rsidR="000061E9" w:rsidRPr="0038332A" w:rsidRDefault="000061E9" w:rsidP="000061E9">
            <w:pPr>
              <w:jc w:val="center"/>
            </w:pPr>
            <w:r w:rsidRPr="0038332A">
              <w:t>WN – 0</w:t>
            </w:r>
          </w:p>
          <w:p w:rsidR="000061E9" w:rsidRPr="00652B29" w:rsidRDefault="000061E9" w:rsidP="000061E9">
            <w:pPr>
              <w:jc w:val="center"/>
              <w:rPr>
                <w:highlight w:val="yellow"/>
              </w:rPr>
            </w:pPr>
            <w:r w:rsidRPr="0038332A">
              <w:t xml:space="preserve">DF – 0 </w:t>
            </w:r>
          </w:p>
        </w:tc>
        <w:tc>
          <w:tcPr>
            <w:tcW w:w="1800" w:type="dxa"/>
          </w:tcPr>
          <w:p w:rsidR="000061E9" w:rsidRPr="0038332A" w:rsidRDefault="000061E9" w:rsidP="000061E9">
            <w:pPr>
              <w:jc w:val="center"/>
            </w:pPr>
            <w:r w:rsidRPr="0038332A">
              <w:t xml:space="preserve">W – </w:t>
            </w:r>
            <w:r w:rsidR="0038332A" w:rsidRPr="0038332A">
              <w:t>1</w:t>
            </w:r>
          </w:p>
          <w:p w:rsidR="000061E9" w:rsidRPr="0038332A" w:rsidRDefault="000061E9" w:rsidP="000061E9">
            <w:pPr>
              <w:jc w:val="center"/>
            </w:pPr>
            <w:r w:rsidRPr="0038332A">
              <w:t xml:space="preserve">WN – </w:t>
            </w:r>
            <w:r w:rsidR="0038332A" w:rsidRPr="0038332A">
              <w:t>3</w:t>
            </w:r>
          </w:p>
          <w:p w:rsidR="000061E9" w:rsidRPr="00652B29" w:rsidRDefault="000061E9" w:rsidP="000061E9">
            <w:pPr>
              <w:jc w:val="center"/>
              <w:rPr>
                <w:highlight w:val="yellow"/>
              </w:rPr>
            </w:pPr>
            <w:r w:rsidRPr="0038332A">
              <w:t>DF – 0</w:t>
            </w:r>
            <w:r w:rsidRPr="00652B29">
              <w:rPr>
                <w:highlight w:val="yellow"/>
              </w:rPr>
              <w:t xml:space="preserve"> </w:t>
            </w:r>
          </w:p>
        </w:tc>
      </w:tr>
    </w:tbl>
    <w:p w:rsidR="002F59F5" w:rsidRPr="00652B29" w:rsidRDefault="002F59F5" w:rsidP="0021042E">
      <w:pPr>
        <w:rPr>
          <w:sz w:val="6"/>
          <w:szCs w:val="6"/>
          <w:highlight w:val="yellow"/>
        </w:rPr>
      </w:pPr>
    </w:p>
    <w:p w:rsidR="00DF0057" w:rsidRPr="00077B37" w:rsidRDefault="002F3057" w:rsidP="00DF0057">
      <w:r w:rsidRPr="00077B37">
        <w:t>As identified in Table 6, t</w:t>
      </w:r>
      <w:r w:rsidR="00077B37" w:rsidRPr="00077B37">
        <w:t>he amount of A’s, B’s, and C’s remained similar from the traditional and hybrid course sections. The amount of D’s slightly decreased while the amount of F’s slightly increased</w:t>
      </w:r>
      <w:r w:rsidR="00DF0057" w:rsidRPr="00077B37">
        <w:t xml:space="preserve"> </w:t>
      </w:r>
      <w:r w:rsidR="00077B37" w:rsidRPr="00077B37">
        <w:t xml:space="preserve">in the hybrid course sections. </w:t>
      </w:r>
      <w:r w:rsidR="00113607">
        <w:t xml:space="preserve">After investigating this further, the number of F’s for both course sections </w:t>
      </w:r>
      <w:r w:rsidR="00113607">
        <w:lastRenderedPageBreak/>
        <w:t xml:space="preserve">of the hybrid version could have been decreased if the 3 students </w:t>
      </w:r>
      <w:r w:rsidR="006110BC">
        <w:t>in section 001 and 4 students in section 002</w:t>
      </w:r>
      <w:r w:rsidR="00113607">
        <w:t xml:space="preserve"> (</w:t>
      </w:r>
      <w:r w:rsidR="006110BC">
        <w:t>7</w:t>
      </w:r>
      <w:r w:rsidR="00113607">
        <w:t xml:space="preserve"> in total) would have taken the final exam and most likely would have earned a D in the course). These results also reemphasize</w:t>
      </w:r>
      <w:r w:rsidR="00DF0057" w:rsidRPr="00077B37">
        <w:t xml:space="preserve"> the need for correct math placement and correct placement in a hybrid or traditional class format.</w:t>
      </w:r>
      <w:r w:rsidR="00285C08" w:rsidRPr="00077B37">
        <w:t xml:space="preserve"> </w:t>
      </w:r>
    </w:p>
    <w:p w:rsidR="00DF0057" w:rsidRPr="00652B29" w:rsidRDefault="00DF0057" w:rsidP="00DF0057">
      <w:pPr>
        <w:rPr>
          <w:highlight w:val="yellow"/>
        </w:rPr>
      </w:pPr>
    </w:p>
    <w:p w:rsidR="00F70D83" w:rsidRDefault="007010D8" w:rsidP="00F70D83">
      <w:r>
        <w:t>T</w:t>
      </w:r>
      <w:r w:rsidR="002F3057" w:rsidRPr="00077B37">
        <w:t xml:space="preserve">he students’ final grade in all course sections relatively show no significant difference among the course sections. </w:t>
      </w:r>
      <w:r w:rsidR="00A404E2" w:rsidRPr="00077B37">
        <w:t>The no significant difference also is shown in the number of W’s, WN’s, and DF’s per course.</w:t>
      </w:r>
      <w:r w:rsidR="00285C08" w:rsidRPr="00077B37">
        <w:t xml:space="preserve"> </w:t>
      </w:r>
      <w:r w:rsidR="00F70D83" w:rsidRPr="00077B37">
        <w:t xml:space="preserve"> These results are consistent with those in Thomas Russell’s book and companion website, “The No Significant Difference Phenomenon,” which utilizes hundreds of scholarly articles, books, etc. that back-up the notion that online and hybrid modalities show no significant difference in student outcomes than the traditional classroom</w:t>
      </w:r>
      <w:r w:rsidR="00F70D83" w:rsidRPr="00077B37">
        <w:rPr>
          <w:noProof/>
        </w:rPr>
        <w:t xml:space="preserve"> (Russell, The No Significant Difference Phenomenon: A Comparative Research Annotated Bibliography on Technology for Distance Education)</w:t>
      </w:r>
      <w:r w:rsidR="00F70D83" w:rsidRPr="00077B37">
        <w:t>.</w:t>
      </w:r>
      <w:r w:rsidR="00285C08" w:rsidRPr="00077B37">
        <w:t xml:space="preserve"> </w:t>
      </w:r>
      <w:r w:rsidR="00F70D83" w:rsidRPr="00077B37">
        <w:t>The results are also consistent with Richard Clark’s theory that the delivery medium has no effect on learning</w:t>
      </w:r>
      <w:r w:rsidR="00F70D83" w:rsidRPr="00077B37">
        <w:rPr>
          <w:noProof/>
        </w:rPr>
        <w:t xml:space="preserve"> (Clark)</w:t>
      </w:r>
      <w:r w:rsidR="00F70D83" w:rsidRPr="00077B37">
        <w:t>.</w:t>
      </w:r>
    </w:p>
    <w:p w:rsidR="007010D8" w:rsidRDefault="007010D8" w:rsidP="00F70D83"/>
    <w:p w:rsidR="007010D8" w:rsidRPr="007010D8" w:rsidRDefault="007010D8" w:rsidP="007010D8">
      <w:r>
        <w:t>Overall for the quantitative data, t</w:t>
      </w:r>
      <w:r w:rsidRPr="007010D8">
        <w:t>he results and instructors’ experiences emphasize the need for placement of students in the proper version of the course. This includes students understanding that they are signing up for a hybrid course, with assistance of their advisor, and what a hybrid course means. This also includes ensuring that students who may require specialized and structured academic support services are not enrolled in hybrid course sections. Although the hybrid does help students who need some additional assistance, students who need an extensive amount of remediation are not intended to be in the hybrid course section.</w:t>
      </w:r>
    </w:p>
    <w:p w:rsidR="007010D8" w:rsidRPr="00077B37" w:rsidRDefault="007010D8" w:rsidP="00F70D83"/>
    <w:p w:rsidR="00FE0EDE" w:rsidRPr="00652B29" w:rsidRDefault="00FE0EDE" w:rsidP="0021042E">
      <w:pPr>
        <w:rPr>
          <w:highlight w:val="yellow"/>
        </w:rPr>
      </w:pPr>
    </w:p>
    <w:p w:rsidR="009336C4" w:rsidRPr="00A703B8" w:rsidRDefault="00A90596" w:rsidP="00A703B8">
      <w:pPr>
        <w:pStyle w:val="Heading1"/>
      </w:pPr>
      <w:r w:rsidRPr="00A703B8">
        <w:t>Future Plans for Enhancement</w:t>
      </w:r>
    </w:p>
    <w:p w:rsidR="009336C4" w:rsidRPr="00652B29" w:rsidRDefault="009336C4" w:rsidP="009336C4">
      <w:pPr>
        <w:rPr>
          <w:highlight w:val="yellow"/>
        </w:rPr>
      </w:pPr>
      <w:r w:rsidRPr="00A703B8">
        <w:t>The design and development of a hybrid course is not a “once and done” procedure.</w:t>
      </w:r>
      <w:r w:rsidR="00285C08" w:rsidRPr="00A703B8">
        <w:t xml:space="preserve"> </w:t>
      </w:r>
      <w:proofErr w:type="spellStart"/>
      <w:r w:rsidR="00A703B8" w:rsidRPr="00A703B8">
        <w:t>Selvi</w:t>
      </w:r>
      <w:proofErr w:type="spellEnd"/>
      <w:r w:rsidRPr="00A703B8">
        <w:t xml:space="preserve"> will continue to evaluate the course after each semester and go through the reiterative process.</w:t>
      </w:r>
      <w:r w:rsidR="00285C08" w:rsidRPr="00A703B8">
        <w:t xml:space="preserve"> </w:t>
      </w:r>
      <w:r w:rsidRPr="00A703B8">
        <w:t>This process is based upon the generic instructional systems design model called the ADDIE model that many hybrid / online course development models use as a basis today.</w:t>
      </w:r>
      <w:r w:rsidR="00285C08" w:rsidRPr="00A703B8">
        <w:t xml:space="preserve"> </w:t>
      </w:r>
      <w:r w:rsidRPr="00A703B8">
        <w:t>The ADDIE model represents each phase including Analysis, Design, Development, Implementation, and Evaluation</w:t>
      </w:r>
      <w:r w:rsidRPr="00A703B8">
        <w:rPr>
          <w:noProof/>
        </w:rPr>
        <w:t xml:space="preserve"> (Dick)</w:t>
      </w:r>
      <w:r w:rsidRPr="00A703B8">
        <w:t xml:space="preserve">. </w:t>
      </w:r>
      <w:r w:rsidR="00A703B8" w:rsidRPr="00A703B8">
        <w:t xml:space="preserve">In addition, </w:t>
      </w:r>
      <w:proofErr w:type="spellStart"/>
      <w:r w:rsidR="00A703B8" w:rsidRPr="00A703B8">
        <w:t>Selvi</w:t>
      </w:r>
      <w:proofErr w:type="spellEnd"/>
      <w:r w:rsidR="00A703B8" w:rsidRPr="00A703B8">
        <w:t xml:space="preserve"> </w:t>
      </w:r>
      <w:r w:rsidRPr="00A703B8">
        <w:t>will continue to work with the Instructional Designer as part of</w:t>
      </w:r>
      <w:r w:rsidR="00201684" w:rsidRPr="00A703B8">
        <w:t xml:space="preserve"> this process to strive for a continual </w:t>
      </w:r>
      <w:r w:rsidRPr="00A703B8">
        <w:t>improvement of learning and retention.</w:t>
      </w:r>
    </w:p>
    <w:p w:rsidR="00571C6E" w:rsidRPr="00652B29" w:rsidRDefault="00571C6E" w:rsidP="0021042E">
      <w:pPr>
        <w:rPr>
          <w:highlight w:val="yellow"/>
        </w:rPr>
      </w:pPr>
    </w:p>
    <w:p w:rsidR="005D44E3" w:rsidRPr="000061E9" w:rsidRDefault="005D44E3" w:rsidP="000061E9">
      <w:pPr>
        <w:pStyle w:val="Heading1"/>
      </w:pPr>
      <w:r w:rsidRPr="000061E9">
        <w:t>Scholarly Outcomes</w:t>
      </w:r>
    </w:p>
    <w:p w:rsidR="005D44E3" w:rsidRPr="000061E9" w:rsidRDefault="0018374F" w:rsidP="00A44060">
      <w:pPr>
        <w:ind w:left="720" w:hanging="720"/>
      </w:pPr>
      <w:r w:rsidRPr="000061E9">
        <w:t xml:space="preserve">There are currently no </w:t>
      </w:r>
      <w:r w:rsidR="00075590" w:rsidRPr="000061E9">
        <w:t>publications or presentations that resulted from this project</w:t>
      </w:r>
      <w:r w:rsidRPr="000061E9">
        <w:t>.</w:t>
      </w:r>
    </w:p>
    <w:p w:rsidR="00075590" w:rsidRPr="00652B29" w:rsidRDefault="00075590" w:rsidP="00A44060">
      <w:pPr>
        <w:ind w:left="720" w:hanging="720"/>
        <w:rPr>
          <w:highlight w:val="yellow"/>
        </w:rPr>
      </w:pPr>
    </w:p>
    <w:p w:rsidR="005D44E3" w:rsidRPr="000061E9" w:rsidRDefault="005D44E3" w:rsidP="000061E9">
      <w:pPr>
        <w:pStyle w:val="Heading1"/>
      </w:pPr>
      <w:r w:rsidRPr="000061E9">
        <w:t>Recommendations</w:t>
      </w:r>
    </w:p>
    <w:p w:rsidR="00F32B5B" w:rsidRPr="000061E9" w:rsidRDefault="00391923" w:rsidP="0021042E">
      <w:r w:rsidRPr="000061E9">
        <w:t>Based on the experiences of designing and developing a hybrid course, the experiences of a teaching a hybrid course, the findings of the qualitative and quantitative data, and the students comments about their experiences in both the hybrid and t</w:t>
      </w:r>
      <w:r w:rsidR="000061E9">
        <w:t xml:space="preserve">raditional course sections, </w:t>
      </w:r>
      <w:proofErr w:type="spellStart"/>
      <w:r w:rsidR="000061E9">
        <w:t>Selvi</w:t>
      </w:r>
      <w:proofErr w:type="spellEnd"/>
      <w:r w:rsidR="000061E9">
        <w:t xml:space="preserve"> </w:t>
      </w:r>
      <w:proofErr w:type="spellStart"/>
      <w:r w:rsidR="000061E9">
        <w:t>Jagadesan</w:t>
      </w:r>
      <w:proofErr w:type="spellEnd"/>
      <w:r w:rsidR="000061E9">
        <w:t xml:space="preserve"> makes</w:t>
      </w:r>
      <w:r w:rsidRPr="000061E9">
        <w:t xml:space="preserve"> the following recommendations</w:t>
      </w:r>
      <w:r w:rsidR="00F32B5B" w:rsidRPr="000061E9">
        <w:t>.</w:t>
      </w:r>
    </w:p>
    <w:p w:rsidR="00F32B5B" w:rsidRPr="00652B29" w:rsidRDefault="00F32B5B" w:rsidP="0021042E">
      <w:pPr>
        <w:rPr>
          <w:highlight w:val="yellow"/>
        </w:rPr>
      </w:pPr>
    </w:p>
    <w:p w:rsidR="00F32B5B" w:rsidRPr="00A703B8" w:rsidRDefault="00F32B5B" w:rsidP="0021042E">
      <w:pPr>
        <w:rPr>
          <w:u w:val="single"/>
        </w:rPr>
      </w:pPr>
      <w:r w:rsidRPr="00A703B8">
        <w:rPr>
          <w:u w:val="single"/>
        </w:rPr>
        <w:t>Generic Recommendations</w:t>
      </w:r>
    </w:p>
    <w:p w:rsidR="00391923" w:rsidRPr="00A703B8" w:rsidRDefault="00391923" w:rsidP="0021042E"/>
    <w:p w:rsidR="00201684" w:rsidRPr="00A703B8" w:rsidRDefault="0056593C" w:rsidP="00913E42">
      <w:pPr>
        <w:numPr>
          <w:ilvl w:val="0"/>
          <w:numId w:val="1"/>
        </w:numPr>
      </w:pPr>
      <w:r w:rsidRPr="00A703B8">
        <w:t>All advis</w:t>
      </w:r>
      <w:r w:rsidR="009975FF" w:rsidRPr="00A703B8">
        <w:t>o</w:t>
      </w:r>
      <w:r w:rsidRPr="00A703B8">
        <w:t xml:space="preserve">rs and those advisors especially for first year students need to be more aware of hybrid courses, truly understand how hybrid courses are different </w:t>
      </w:r>
      <w:r w:rsidR="00201684" w:rsidRPr="00A703B8">
        <w:t>from</w:t>
      </w:r>
      <w:r w:rsidRPr="00A703B8">
        <w:t xml:space="preserve"> traditional course</w:t>
      </w:r>
      <w:r w:rsidR="00201684" w:rsidRPr="00A703B8">
        <w:t>s</w:t>
      </w:r>
      <w:r w:rsidRPr="00A703B8">
        <w:t xml:space="preserve">, that students of hybrid courses need to be prepared to learn more on their own without guidance, and ensure </w:t>
      </w:r>
      <w:r w:rsidRPr="00A703B8">
        <w:lastRenderedPageBreak/>
        <w:t xml:space="preserve">those students who </w:t>
      </w:r>
      <w:r w:rsidR="00201684" w:rsidRPr="00A703B8">
        <w:t xml:space="preserve">those students who need extensive remediation or may require specialized and structured academic support services are not enrolled in hybrid course sections. </w:t>
      </w:r>
    </w:p>
    <w:p w:rsidR="007A4F3D" w:rsidRPr="00A703B8" w:rsidRDefault="0056593C" w:rsidP="00913E42">
      <w:pPr>
        <w:numPr>
          <w:ilvl w:val="0"/>
          <w:numId w:val="1"/>
        </w:numPr>
      </w:pPr>
      <w:r w:rsidRPr="00A703B8">
        <w:t>It is also recommended that for any given course there are options for the student to be enrolled in a hybrid course section or a traditional course section.</w:t>
      </w:r>
      <w:r w:rsidR="00285C08" w:rsidRPr="00A703B8">
        <w:t xml:space="preserve"> </w:t>
      </w:r>
      <w:r w:rsidRPr="00A703B8">
        <w:t>By limiting a course, especially a 100 level or 200 level course, to only hybrid course sections it will prevent Penn State Berks from accommodating students who may not find the hybrid model to fit their learning support needs.</w:t>
      </w:r>
    </w:p>
    <w:p w:rsidR="00F32B5B" w:rsidRPr="00A703B8" w:rsidRDefault="007A4F3D" w:rsidP="00913E42">
      <w:pPr>
        <w:numPr>
          <w:ilvl w:val="0"/>
          <w:numId w:val="1"/>
        </w:numPr>
      </w:pPr>
      <w:r w:rsidRPr="00A703B8">
        <w:t xml:space="preserve">It is essential to segment the design and development of a hybrid or online course from the teaching of the already developed </w:t>
      </w:r>
      <w:r w:rsidR="00696079" w:rsidRPr="00A703B8">
        <w:t xml:space="preserve">hybrid or </w:t>
      </w:r>
      <w:r w:rsidRPr="00A703B8">
        <w:t>online course.</w:t>
      </w:r>
      <w:r w:rsidR="00285C08" w:rsidRPr="00A703B8">
        <w:t xml:space="preserve"> </w:t>
      </w:r>
      <w:r w:rsidRPr="00A703B8">
        <w:t xml:space="preserve">There must be a clear understanding </w:t>
      </w:r>
      <w:r w:rsidR="00F32B5B" w:rsidRPr="00A703B8">
        <w:t xml:space="preserve">from both the administration and faculty that </w:t>
      </w:r>
      <w:r w:rsidRPr="00A703B8">
        <w:t xml:space="preserve">the numerous hours put forth to design and develop a hybrid or online course do not count for teaching the hybrid or online course during the semester. </w:t>
      </w:r>
    </w:p>
    <w:p w:rsidR="009336C4" w:rsidRPr="00A703B8" w:rsidRDefault="009336C4" w:rsidP="001A1AA2">
      <w:pPr>
        <w:numPr>
          <w:ilvl w:val="0"/>
          <w:numId w:val="1"/>
        </w:numPr>
      </w:pPr>
      <w:r w:rsidRPr="00A703B8">
        <w:t>Continued administrative support for faculty release time or faculty compensation for the numerous hours needed by faculty for designing and developing a hybrid or online course.</w:t>
      </w:r>
    </w:p>
    <w:p w:rsidR="00F64C19" w:rsidRPr="00652B29" w:rsidRDefault="00F64C19" w:rsidP="00F32B5B">
      <w:pPr>
        <w:rPr>
          <w:highlight w:val="yellow"/>
          <w:u w:val="single"/>
        </w:rPr>
      </w:pPr>
    </w:p>
    <w:p w:rsidR="00F32B5B" w:rsidRPr="00A703B8" w:rsidRDefault="00F32B5B" w:rsidP="00F32B5B">
      <w:pPr>
        <w:rPr>
          <w:u w:val="single"/>
        </w:rPr>
      </w:pPr>
      <w:r w:rsidRPr="00A703B8">
        <w:rPr>
          <w:u w:val="single"/>
        </w:rPr>
        <w:t>Instructors considering a hybrid / online course are encouraged to:</w:t>
      </w:r>
    </w:p>
    <w:p w:rsidR="00F32B5B" w:rsidRPr="00A703B8" w:rsidRDefault="00F32B5B" w:rsidP="00F32B5B">
      <w:pPr>
        <w:rPr>
          <w:u w:val="single"/>
        </w:rPr>
      </w:pPr>
    </w:p>
    <w:p w:rsidR="001A1AA2" w:rsidRPr="00A703B8" w:rsidRDefault="00F32B5B" w:rsidP="001A1AA2">
      <w:pPr>
        <w:numPr>
          <w:ilvl w:val="0"/>
          <w:numId w:val="2"/>
        </w:numPr>
      </w:pPr>
      <w:r w:rsidRPr="00A703B8">
        <w:t>W</w:t>
      </w:r>
      <w:r w:rsidR="001A1AA2" w:rsidRPr="00A703B8">
        <w:t>ork with the Instructional Designer for support and hybrid / online pedagogy expertise during the design and development of the course and every time the course is run to ensure the quality of the hybrid / online course.</w:t>
      </w:r>
    </w:p>
    <w:p w:rsidR="001A1AA2" w:rsidRPr="00A703B8" w:rsidRDefault="001A1AA2" w:rsidP="001A1AA2">
      <w:pPr>
        <w:numPr>
          <w:ilvl w:val="0"/>
          <w:numId w:val="2"/>
        </w:numPr>
      </w:pPr>
      <w:r w:rsidRPr="00A703B8">
        <w:t>Work with the Center for Learning &amp; Teaching to adhere to proper PSU Policies such as Course Policy 42-43, copyright and intellectual property, accessibility, PSU Quality Assurance Standards, etc.</w:t>
      </w:r>
    </w:p>
    <w:p w:rsidR="001A1AA2" w:rsidRPr="00A703B8" w:rsidRDefault="001A1AA2" w:rsidP="001A1AA2">
      <w:pPr>
        <w:numPr>
          <w:ilvl w:val="0"/>
          <w:numId w:val="2"/>
        </w:numPr>
      </w:pPr>
      <w:r w:rsidRPr="00A703B8">
        <w:t>Start early in the design and development of hybrid / online courses. The suggested timeline for design and development at World Campus, most of the colleges at University Park, and those at other commonwealth campuses is 36 weeks.</w:t>
      </w:r>
      <w:r w:rsidR="00285C08" w:rsidRPr="00A703B8">
        <w:t xml:space="preserve"> </w:t>
      </w:r>
      <w:r w:rsidRPr="00A703B8">
        <w:t>Due to the knowledge of faculty commitments at Berks including most hybrid course design/development over the summer months, the timeline used with Berks TLI Grant hybrid courses is a condensed, significantly time-intensive 17 week timeframe that is adapted to the needs of the instructor’s availability.</w:t>
      </w:r>
    </w:p>
    <w:p w:rsidR="001A1AA2" w:rsidRPr="00A703B8" w:rsidRDefault="001A1AA2" w:rsidP="001A1AA2">
      <w:pPr>
        <w:numPr>
          <w:ilvl w:val="0"/>
          <w:numId w:val="2"/>
        </w:numPr>
      </w:pPr>
      <w:r w:rsidRPr="00A703B8">
        <w:t>Dedicate enough time to the design and develop a hybrid / online course.</w:t>
      </w:r>
      <w:r w:rsidR="00285C08" w:rsidRPr="00A703B8">
        <w:t xml:space="preserve"> </w:t>
      </w:r>
      <w:r w:rsidRPr="00A703B8">
        <w:t>Most faculty underestimate the total amount of time that they will need to spend on this process.</w:t>
      </w:r>
    </w:p>
    <w:p w:rsidR="001A1AA2" w:rsidRPr="00A703B8" w:rsidRDefault="001A1AA2" w:rsidP="001A1AA2">
      <w:pPr>
        <w:numPr>
          <w:ilvl w:val="0"/>
          <w:numId w:val="2"/>
        </w:numPr>
      </w:pPr>
      <w:r w:rsidRPr="00A703B8">
        <w:t>Consider first incorporating aspects of a hybrid / online course as part of a “web-enhanced” traditional course and then transitioning to a hybrid or online course in future semesters.</w:t>
      </w:r>
      <w:r w:rsidR="00285C08" w:rsidRPr="00A703B8">
        <w:t xml:space="preserve"> </w:t>
      </w:r>
      <w:r w:rsidRPr="00A703B8">
        <w:t>The term “web-enhanced” traditional course means it incorporates online elements; however, does not reduce any time that you typically meet during the week (i.e. still meet MWF 10:00–10:50)</w:t>
      </w:r>
    </w:p>
    <w:p w:rsidR="001A1AA2" w:rsidRPr="00A703B8" w:rsidRDefault="001A1AA2" w:rsidP="001A1AA2">
      <w:pPr>
        <w:numPr>
          <w:ilvl w:val="0"/>
          <w:numId w:val="2"/>
        </w:numPr>
      </w:pPr>
      <w:r w:rsidRPr="00A703B8">
        <w:t>Ensure that the pedagogy drives the technology and not incorporate technology for the sake of incorporating technology.</w:t>
      </w:r>
    </w:p>
    <w:p w:rsidR="001A1AA2" w:rsidRDefault="001A1AA2" w:rsidP="00A703B8">
      <w:pPr>
        <w:numPr>
          <w:ilvl w:val="0"/>
          <w:numId w:val="2"/>
        </w:numPr>
      </w:pPr>
      <w:r w:rsidRPr="00A703B8">
        <w:t>Consider taking training to prepare you for teaching a hybrid / online course before you start designing and developing the hybrid / online course.</w:t>
      </w:r>
      <w:r w:rsidR="00285C08" w:rsidRPr="00A703B8">
        <w:t xml:space="preserve"> </w:t>
      </w:r>
      <w:r w:rsidRPr="00A703B8">
        <w:t xml:space="preserve">This includes taking a faculty self-assessment at: </w:t>
      </w:r>
      <w:hyperlink r:id="rId7" w:tooltip="Faculty Self-Assessment for Online Teaching" w:history="1">
        <w:r w:rsidR="00A703B8" w:rsidRPr="00A703B8">
          <w:rPr>
            <w:rStyle w:val="Hyperlink"/>
          </w:rPr>
          <w:t>https://weblearning.psu.edu/FacultySelfAssessment/</w:t>
        </w:r>
      </w:hyperlink>
      <w:r w:rsidR="00A703B8" w:rsidRPr="00A703B8">
        <w:t xml:space="preserve"> </w:t>
      </w:r>
      <w:r w:rsidRPr="00A703B8">
        <w:t>and taking OL2000: Effective Online Teaching (</w:t>
      </w:r>
      <w:hyperlink r:id="rId8" w:tooltip="World Campus Faculty Development - List of Courses" w:history="1">
        <w:r w:rsidR="00A703B8" w:rsidRPr="00A703B8">
          <w:rPr>
            <w:rStyle w:val="Hyperlink"/>
          </w:rPr>
          <w:t>http://wcfd.psu.edu/programs/courses/</w:t>
        </w:r>
      </w:hyperlink>
      <w:r w:rsidRPr="00A703B8">
        <w:t>).</w:t>
      </w:r>
      <w:r w:rsidR="00A703B8" w:rsidRPr="00A703B8">
        <w:t xml:space="preserve"> </w:t>
      </w:r>
      <w:r w:rsidRPr="00A703B8">
        <w:t xml:space="preserve"> It gives you the experience of the online course / online component of a hybrid course from a student perspective while also learning the essential skill set to teach online or teach the online component of a hybrid course.</w:t>
      </w:r>
    </w:p>
    <w:p w:rsidR="00610EC7" w:rsidRDefault="00610EC7" w:rsidP="00610EC7">
      <w:pPr>
        <w:pStyle w:val="ListParagraph"/>
        <w:numPr>
          <w:ilvl w:val="0"/>
          <w:numId w:val="2"/>
        </w:numPr>
        <w:spacing w:after="200" w:line="276" w:lineRule="auto"/>
      </w:pPr>
      <w:r>
        <w:t>When developing custom instructional resources for a hybrid or online course, take time to structure your topics and content with a target length of 5- minutes for multimedia-based resources. This strategy aligns with research related to optimal length for instructional video to promote learning and student engagement.</w:t>
      </w:r>
    </w:p>
    <w:p w:rsidR="00610EC7" w:rsidRDefault="00610EC7" w:rsidP="00610EC7">
      <w:pPr>
        <w:pStyle w:val="ListParagraph"/>
        <w:numPr>
          <w:ilvl w:val="0"/>
          <w:numId w:val="2"/>
        </w:numPr>
        <w:spacing w:after="200" w:line="276" w:lineRule="auto"/>
      </w:pPr>
      <w:r>
        <w:lastRenderedPageBreak/>
        <w:t>Video-based instruction which will be repeatedly utilized in online/hybrid courses should be designed with consideration for future accommodation of students who may require closed captioning. (</w:t>
      </w:r>
      <w:hyperlink r:id="rId9" w:tooltip="AccessAbilty - Accessibility and Usability at Penn State Website - Course Accessibility Guidelines Page" w:history="1">
        <w:r w:rsidRPr="00A11A70">
          <w:rPr>
            <w:rStyle w:val="Hyperlink"/>
          </w:rPr>
          <w:t>http://accessibility.psu.edu/courseguidelines</w:t>
        </w:r>
      </w:hyperlink>
      <w:r>
        <w:t>) Transcribing such a large body of video-based instruction for closed captioning is very time consuming and our campus is not staffed to this process. Hiring an outside service to provide this service may be necessary in cases where large amounts of custom video-based instruction are created to support online courses.</w:t>
      </w:r>
    </w:p>
    <w:p w:rsidR="001A1AA2" w:rsidRPr="00A703B8" w:rsidRDefault="001A1AA2" w:rsidP="001A1AA2">
      <w:pPr>
        <w:numPr>
          <w:ilvl w:val="0"/>
          <w:numId w:val="2"/>
        </w:numPr>
      </w:pPr>
      <w:r w:rsidRPr="00A703B8">
        <w:t>While teaching the hybrid / online course, be flexible to adapt to student needs.</w:t>
      </w:r>
      <w:r w:rsidR="00285C08" w:rsidRPr="00A703B8">
        <w:t xml:space="preserve"> </w:t>
      </w:r>
      <w:r w:rsidRPr="00A703B8">
        <w:t>Since hybrid / online courses are well structured, you may gravitate towards “sticking to the schedule”; however, it is essential to adapt the schedule to ensure that students grasp a concept before progressing to the next topic.</w:t>
      </w:r>
    </w:p>
    <w:p w:rsidR="0053619C" w:rsidRPr="00652B29" w:rsidRDefault="0053619C" w:rsidP="0021042E">
      <w:pPr>
        <w:rPr>
          <w:highlight w:val="yellow"/>
        </w:rPr>
      </w:pPr>
    </w:p>
    <w:p w:rsidR="00B26CC1" w:rsidRPr="00DF1017" w:rsidRDefault="00B26CC1" w:rsidP="00A703B8">
      <w:pPr>
        <w:pStyle w:val="Heading1"/>
      </w:pPr>
      <w:r w:rsidRPr="00DF1017">
        <w:t>Conclusion</w:t>
      </w:r>
    </w:p>
    <w:p w:rsidR="009336C4" w:rsidRPr="00652B29" w:rsidRDefault="009336C4" w:rsidP="009336C4">
      <w:pPr>
        <w:rPr>
          <w:highlight w:val="yellow"/>
        </w:rPr>
      </w:pPr>
      <w:r w:rsidRPr="00DF1017">
        <w:t>The hybrid version of Math 2</w:t>
      </w:r>
      <w:r w:rsidR="00DF1017" w:rsidRPr="00DF1017">
        <w:t>6</w:t>
      </w:r>
      <w:r w:rsidR="00CC657B" w:rsidRPr="00DF1017">
        <w:t xml:space="preserve"> </w:t>
      </w:r>
      <w:r w:rsidRPr="00DF1017">
        <w:t>addresses the need of enriching more enabled students to learn more on their own while setting aside more quality time for learners who need a significant amount of individual attention.</w:t>
      </w:r>
      <w:r w:rsidR="00285C08" w:rsidRPr="00DF1017">
        <w:t xml:space="preserve"> </w:t>
      </w:r>
      <w:r w:rsidRPr="00DF1017">
        <w:t>The hybrid version is not intended for every student, especially those who need extensive remediation and/or may require specialized and structured academic support services in addition to those offered in the course.</w:t>
      </w:r>
      <w:r w:rsidR="00285C08" w:rsidRPr="00DF1017">
        <w:t xml:space="preserve"> </w:t>
      </w:r>
      <w:r w:rsidRPr="00DF1017">
        <w:t xml:space="preserve">Furthermore, from the student evaluations and other input from students of hybrid courses, the </w:t>
      </w:r>
      <w:r w:rsidR="00DF1017" w:rsidRPr="00DF1017">
        <w:t>investigator has</w:t>
      </w:r>
      <w:r w:rsidRPr="00DF1017">
        <w:t xml:space="preserve"> found that the students participate more, ask better questions, focus on more difficult objectives, attend Friday sessions / seek additional help if necessary, and</w:t>
      </w:r>
      <w:r w:rsidR="00CC657B" w:rsidRPr="00DF1017">
        <w:t xml:space="preserve"> develop</w:t>
      </w:r>
      <w:r w:rsidRPr="00DF1017">
        <w:t xml:space="preserve"> more responsibility.</w:t>
      </w:r>
      <w:r w:rsidR="00285C08" w:rsidRPr="00DF1017">
        <w:t xml:space="preserve"> </w:t>
      </w:r>
      <w:r w:rsidRPr="00DF1017">
        <w:t>In addition, these student have thrived in this class format.</w:t>
      </w:r>
      <w:r w:rsidR="00285C08" w:rsidRPr="00DF1017">
        <w:t xml:space="preserve"> </w:t>
      </w:r>
      <w:r w:rsidRPr="00DF1017">
        <w:t>The Math 2</w:t>
      </w:r>
      <w:r w:rsidR="00DF1017" w:rsidRPr="00DF1017">
        <w:t>6</w:t>
      </w:r>
      <w:r w:rsidRPr="00DF1017">
        <w:t xml:space="preserve"> hybrid has increased the flexibility of fitting classes into the busy schedules of students including those students who are non-traditional learners, such as older adults, students in the military, and traditional age students who have jobs, where time is a big factor in academic success.</w:t>
      </w:r>
      <w:r w:rsidR="00DF1017" w:rsidRPr="00DF1017">
        <w:t xml:space="preserve"> Lastly, the alignment of the course design and structure to Math 21 and Math 22 hybrid versions of the course produce a </w:t>
      </w:r>
      <w:r w:rsidR="00DF1017">
        <w:t xml:space="preserve">structured </w:t>
      </w:r>
      <w:r w:rsidR="00DF1017" w:rsidRPr="00DF1017">
        <w:t xml:space="preserve">course sequence for students taking mathematics. </w:t>
      </w:r>
    </w:p>
    <w:p w:rsidR="00AA4AD4" w:rsidRPr="00652B29" w:rsidRDefault="00AA4AD4" w:rsidP="009336C4">
      <w:pPr>
        <w:rPr>
          <w:highlight w:val="yellow"/>
        </w:rPr>
      </w:pPr>
    </w:p>
    <w:p w:rsidR="001C5CC2" w:rsidRPr="00DF1017" w:rsidRDefault="001C5CC2" w:rsidP="0064640F">
      <w:pPr>
        <w:pStyle w:val="Heading1"/>
      </w:pPr>
      <w:r w:rsidRPr="00DF1017">
        <w:t>Acknowledgements</w:t>
      </w:r>
    </w:p>
    <w:p w:rsidR="009336C4" w:rsidRPr="00DF1017" w:rsidRDefault="00DF1017" w:rsidP="009336C4">
      <w:r w:rsidRPr="00DF1017">
        <w:t>The investigator</w:t>
      </w:r>
      <w:r w:rsidR="009336C4" w:rsidRPr="00DF1017">
        <w:t xml:space="preserve"> gratefully acknowledge</w:t>
      </w:r>
      <w:r w:rsidRPr="00DF1017">
        <w:t>s</w:t>
      </w:r>
      <w:r w:rsidR="009336C4" w:rsidRPr="00DF1017">
        <w:t>:</w:t>
      </w:r>
    </w:p>
    <w:p w:rsidR="009336C4" w:rsidRPr="00DF1017" w:rsidRDefault="009336C4" w:rsidP="009336C4">
      <w:pPr>
        <w:numPr>
          <w:ilvl w:val="0"/>
          <w:numId w:val="5"/>
        </w:numPr>
      </w:pPr>
      <w:r w:rsidRPr="00DF1017">
        <w:t>Amy Roche, Instructional Designer, for her time, talent, and work in the design and development of the hybrid course.</w:t>
      </w:r>
    </w:p>
    <w:p w:rsidR="00DF1017" w:rsidRPr="00DF1017" w:rsidRDefault="00DF1017" w:rsidP="009336C4">
      <w:pPr>
        <w:numPr>
          <w:ilvl w:val="0"/>
          <w:numId w:val="5"/>
        </w:numPr>
      </w:pPr>
      <w:r w:rsidRPr="00DF1017">
        <w:t xml:space="preserve">Mary Ann </w:t>
      </w:r>
      <w:proofErr w:type="spellStart"/>
      <w:r w:rsidRPr="00DF1017">
        <w:t>Mengel</w:t>
      </w:r>
      <w:proofErr w:type="spellEnd"/>
      <w:r w:rsidRPr="00DF1017">
        <w:t xml:space="preserve">, Instructional Multimedia Designer, for her time, talent, and work in the design and development of instructional modules. </w:t>
      </w:r>
    </w:p>
    <w:p w:rsidR="009336C4" w:rsidRPr="00DF1017" w:rsidRDefault="00DF1017" w:rsidP="009336C4">
      <w:pPr>
        <w:numPr>
          <w:ilvl w:val="0"/>
          <w:numId w:val="5"/>
        </w:numPr>
      </w:pPr>
      <w:r w:rsidRPr="00DF1017">
        <w:t xml:space="preserve">Dr. </w:t>
      </w:r>
      <w:proofErr w:type="spellStart"/>
      <w:r w:rsidRPr="00DF1017">
        <w:t>Daonian</w:t>
      </w:r>
      <w:proofErr w:type="spellEnd"/>
      <w:r w:rsidRPr="00DF1017">
        <w:t xml:space="preserve"> Liu</w:t>
      </w:r>
      <w:r w:rsidR="009336C4" w:rsidRPr="00DF1017">
        <w:t xml:space="preserve">, Director for the Center for Learning &amp; Teaching, and Dr. Paul </w:t>
      </w:r>
      <w:proofErr w:type="spellStart"/>
      <w:r w:rsidR="009336C4" w:rsidRPr="00DF1017">
        <w:t>Esqueda</w:t>
      </w:r>
      <w:proofErr w:type="spellEnd"/>
      <w:r w:rsidR="009336C4" w:rsidRPr="00DF1017">
        <w:t>, Sr. Associate Dean for Academic Affairs, for the opportunity to make the hybrid version of this course as part of our improvement of overall teaching.</w:t>
      </w:r>
    </w:p>
    <w:p w:rsidR="009336C4" w:rsidRPr="00DF1017" w:rsidRDefault="001D099B" w:rsidP="00DF1017">
      <w:pPr>
        <w:pStyle w:val="Heading1"/>
        <w:rPr>
          <w:highlight w:val="yellow"/>
        </w:rPr>
      </w:pPr>
      <w:r w:rsidRPr="00DF1017">
        <w:rPr>
          <w:highlight w:val="yellow"/>
        </w:rPr>
        <w:br w:type="page"/>
      </w:r>
      <w:r w:rsidR="001F6306" w:rsidRPr="00DF1017">
        <w:lastRenderedPageBreak/>
        <w:t>Works Cited</w:t>
      </w:r>
    </w:p>
    <w:p w:rsidR="00F64C19" w:rsidRPr="00077B37" w:rsidRDefault="00F64C19" w:rsidP="00F64C19">
      <w:pPr>
        <w:pStyle w:val="Bibliography"/>
        <w:ind w:left="720" w:hanging="720"/>
        <w:rPr>
          <w:noProof/>
        </w:rPr>
      </w:pPr>
      <w:r w:rsidRPr="00077B37">
        <w:rPr>
          <w:noProof/>
        </w:rPr>
        <w:t xml:space="preserve">Clark, R. (1983). Reconsidering Research on Learning from Media. </w:t>
      </w:r>
      <w:r w:rsidRPr="00077B37">
        <w:rPr>
          <w:i/>
          <w:iCs/>
          <w:noProof/>
        </w:rPr>
        <w:t>Review of Educational Research, 4</w:t>
      </w:r>
      <w:r w:rsidRPr="00077B37">
        <w:rPr>
          <w:noProof/>
        </w:rPr>
        <w:t>(53), 445-459.</w:t>
      </w:r>
    </w:p>
    <w:p w:rsidR="00F64C19" w:rsidRPr="00DF1017" w:rsidRDefault="00F64C19" w:rsidP="00F64C19">
      <w:pPr>
        <w:pStyle w:val="Bibliography"/>
        <w:ind w:left="720" w:hanging="720"/>
        <w:rPr>
          <w:noProof/>
        </w:rPr>
      </w:pPr>
      <w:r w:rsidRPr="00DF1017">
        <w:rPr>
          <w:noProof/>
        </w:rPr>
        <w:t xml:space="preserve">Dick, W. &amp;. (1996). </w:t>
      </w:r>
      <w:r w:rsidRPr="00DF1017">
        <w:rPr>
          <w:i/>
          <w:iCs/>
          <w:noProof/>
        </w:rPr>
        <w:t>The Systematic Design of Instruction.</w:t>
      </w:r>
      <w:r w:rsidRPr="00DF1017">
        <w:rPr>
          <w:noProof/>
        </w:rPr>
        <w:t xml:space="preserve"> New York: Haper Collins College Publishers.</w:t>
      </w:r>
    </w:p>
    <w:p w:rsidR="00F64C19" w:rsidRPr="00D41C87" w:rsidRDefault="00F64C19" w:rsidP="00F64C19">
      <w:pPr>
        <w:pStyle w:val="Bibliography"/>
        <w:ind w:left="720" w:hanging="720"/>
        <w:rPr>
          <w:noProof/>
        </w:rPr>
      </w:pPr>
      <w:r w:rsidRPr="00D41C87">
        <w:rPr>
          <w:noProof/>
        </w:rPr>
        <w:t xml:space="preserve">Lin, Q. (2008). Student satisfactions in four mixed courses in elementary teacher education program. </w:t>
      </w:r>
      <w:r w:rsidRPr="00D41C87">
        <w:rPr>
          <w:i/>
          <w:iCs/>
          <w:noProof/>
        </w:rPr>
        <w:t>Internet and Higher Education, 11</w:t>
      </w:r>
      <w:r w:rsidRPr="00D41C87">
        <w:rPr>
          <w:noProof/>
        </w:rPr>
        <w:t>(1), pp. 53-59.</w:t>
      </w:r>
    </w:p>
    <w:p w:rsidR="00F64C19" w:rsidRPr="00D41C87" w:rsidRDefault="00F64C19" w:rsidP="00F64C19">
      <w:pPr>
        <w:pStyle w:val="Bibliography"/>
        <w:ind w:left="720" w:hanging="720"/>
        <w:rPr>
          <w:noProof/>
        </w:rPr>
      </w:pPr>
      <w:r w:rsidRPr="00D41C87">
        <w:rPr>
          <w:noProof/>
        </w:rPr>
        <w:t xml:space="preserve">Riffell, S. &amp;. (2005). Using Web-based instruction to improve large undergraduate biology courses: An evaluation of hybrid course format. </w:t>
      </w:r>
      <w:r w:rsidRPr="00D41C87">
        <w:rPr>
          <w:i/>
          <w:iCs/>
          <w:noProof/>
        </w:rPr>
        <w:t>Computers &amp; Education, 44</w:t>
      </w:r>
      <w:r w:rsidRPr="00D41C87">
        <w:rPr>
          <w:noProof/>
        </w:rPr>
        <w:t>(3), pp. 217–235.</w:t>
      </w:r>
    </w:p>
    <w:p w:rsidR="00F64C19" w:rsidRPr="00077B37" w:rsidRDefault="00F64C19" w:rsidP="00F64C19">
      <w:pPr>
        <w:pStyle w:val="Bibliography"/>
        <w:ind w:left="720" w:hanging="720"/>
        <w:rPr>
          <w:noProof/>
        </w:rPr>
      </w:pPr>
      <w:r w:rsidRPr="00077B37">
        <w:rPr>
          <w:noProof/>
        </w:rPr>
        <w:t xml:space="preserve">Russell, T. L. (2001). </w:t>
      </w:r>
      <w:r w:rsidRPr="00077B37">
        <w:rPr>
          <w:i/>
          <w:iCs/>
          <w:noProof/>
        </w:rPr>
        <w:t>The No Significant Different Phenomenon: A Comparative Research Annotated Bibliography on Technology for Distance Education</w:t>
      </w:r>
      <w:r w:rsidRPr="00077B37">
        <w:rPr>
          <w:noProof/>
        </w:rPr>
        <w:t xml:space="preserve"> (Fifth Edition ed.). IDECC.</w:t>
      </w:r>
    </w:p>
    <w:p w:rsidR="00F64C19" w:rsidRPr="00077B37" w:rsidRDefault="00F64C19" w:rsidP="00F64C19">
      <w:pPr>
        <w:pStyle w:val="Bibliography"/>
        <w:ind w:left="720" w:hanging="720"/>
        <w:rPr>
          <w:noProof/>
        </w:rPr>
      </w:pPr>
      <w:r w:rsidRPr="00077B37">
        <w:rPr>
          <w:noProof/>
        </w:rPr>
        <w:t xml:space="preserve">Russell, T. L. (n.d.). </w:t>
      </w:r>
      <w:r w:rsidRPr="00077B37">
        <w:rPr>
          <w:i/>
          <w:iCs/>
          <w:noProof/>
        </w:rPr>
        <w:t>No Significant Difference</w:t>
      </w:r>
      <w:r w:rsidRPr="00077B37">
        <w:rPr>
          <w:noProof/>
        </w:rPr>
        <w:t>. Retrieved from http://www.nosignificantdifference.org</w:t>
      </w:r>
    </w:p>
    <w:p w:rsidR="00B271DC" w:rsidRPr="00875700" w:rsidRDefault="00F64C19" w:rsidP="00E22A71">
      <w:pPr>
        <w:pStyle w:val="Bibliography"/>
        <w:ind w:left="720" w:hanging="720"/>
        <w:rPr>
          <w:noProof/>
        </w:rPr>
      </w:pPr>
      <w:r w:rsidRPr="00077B37">
        <w:rPr>
          <w:noProof/>
        </w:rPr>
        <w:t xml:space="preserve">Smith, R. M. (2008). </w:t>
      </w:r>
      <w:r w:rsidRPr="00077B37">
        <w:rPr>
          <w:i/>
          <w:iCs/>
          <w:noProof/>
        </w:rPr>
        <w:t>Conquering the Content: A Step-by-Step Guide to Online Course Design.</w:t>
      </w:r>
      <w:r w:rsidRPr="00077B37">
        <w:rPr>
          <w:noProof/>
        </w:rPr>
        <w:t xml:space="preserve"> San</w:t>
      </w:r>
      <w:r w:rsidRPr="00DF1017">
        <w:rPr>
          <w:noProof/>
        </w:rPr>
        <w:t xml:space="preserve"> Francisco: Jossey-Bass.</w:t>
      </w:r>
    </w:p>
    <w:sectPr w:rsidR="00B271DC" w:rsidRPr="00875700" w:rsidSect="00C86852">
      <w:headerReference w:type="even" r:id="rId10"/>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D2" w:rsidRDefault="00E94AD2">
      <w:r>
        <w:separator/>
      </w:r>
    </w:p>
  </w:endnote>
  <w:endnote w:type="continuationSeparator" w:id="0">
    <w:p w:rsidR="00E94AD2" w:rsidRDefault="00E9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D2" w:rsidRDefault="00E94AD2">
      <w:r>
        <w:separator/>
      </w:r>
    </w:p>
  </w:footnote>
  <w:footnote w:type="continuationSeparator" w:id="0">
    <w:p w:rsidR="00E94AD2" w:rsidRDefault="00E94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5A2" w:rsidRDefault="009E35A2" w:rsidP="000445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5A2" w:rsidRDefault="009E35A2" w:rsidP="0004456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5A2" w:rsidRDefault="009E35A2">
    <w:pPr>
      <w:pStyle w:val="Header"/>
      <w:jc w:val="right"/>
    </w:pPr>
    <w:proofErr w:type="spellStart"/>
    <w:r>
      <w:t>Jagadesan</w:t>
    </w:r>
    <w:proofErr w:type="spellEnd"/>
    <w:r>
      <w:t xml:space="preserve"> </w:t>
    </w:r>
    <w:r>
      <w:fldChar w:fldCharType="begin"/>
    </w:r>
    <w:r>
      <w:instrText xml:space="preserve"> PAGE   \* MERGEFORMAT </w:instrText>
    </w:r>
    <w:r>
      <w:fldChar w:fldCharType="separate"/>
    </w:r>
    <w:r w:rsidR="00B4307A">
      <w:rPr>
        <w:noProof/>
      </w:rPr>
      <w:t>3</w:t>
    </w:r>
    <w:r>
      <w:fldChar w:fldCharType="end"/>
    </w:r>
  </w:p>
  <w:p w:rsidR="009E35A2" w:rsidRPr="001C5CC2" w:rsidRDefault="009E35A2" w:rsidP="0004456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A6CEA"/>
    <w:multiLevelType w:val="hybridMultilevel"/>
    <w:tmpl w:val="AD5C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37B66"/>
    <w:multiLevelType w:val="hybridMultilevel"/>
    <w:tmpl w:val="81343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90C1E"/>
    <w:multiLevelType w:val="hybridMultilevel"/>
    <w:tmpl w:val="5FBC3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5E72C0"/>
    <w:multiLevelType w:val="hybridMultilevel"/>
    <w:tmpl w:val="AD5C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D5C77"/>
    <w:multiLevelType w:val="hybridMultilevel"/>
    <w:tmpl w:val="AD5C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46858"/>
    <w:multiLevelType w:val="hybridMultilevel"/>
    <w:tmpl w:val="8130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60"/>
    <w:rsid w:val="000024F0"/>
    <w:rsid w:val="00004524"/>
    <w:rsid w:val="000061E9"/>
    <w:rsid w:val="000071C0"/>
    <w:rsid w:val="00015985"/>
    <w:rsid w:val="0001699A"/>
    <w:rsid w:val="00016BF9"/>
    <w:rsid w:val="00023643"/>
    <w:rsid w:val="000240D6"/>
    <w:rsid w:val="000249B4"/>
    <w:rsid w:val="00025B32"/>
    <w:rsid w:val="000265BD"/>
    <w:rsid w:val="00030527"/>
    <w:rsid w:val="00031F26"/>
    <w:rsid w:val="00034C5A"/>
    <w:rsid w:val="00037737"/>
    <w:rsid w:val="00037BD8"/>
    <w:rsid w:val="00040AFD"/>
    <w:rsid w:val="000410A9"/>
    <w:rsid w:val="00044287"/>
    <w:rsid w:val="00044560"/>
    <w:rsid w:val="00045411"/>
    <w:rsid w:val="000477FA"/>
    <w:rsid w:val="00050829"/>
    <w:rsid w:val="00050CC6"/>
    <w:rsid w:val="000512BA"/>
    <w:rsid w:val="00051C07"/>
    <w:rsid w:val="00053F92"/>
    <w:rsid w:val="00056A84"/>
    <w:rsid w:val="00066ECB"/>
    <w:rsid w:val="00071289"/>
    <w:rsid w:val="000715BF"/>
    <w:rsid w:val="00071605"/>
    <w:rsid w:val="00071B94"/>
    <w:rsid w:val="00075590"/>
    <w:rsid w:val="0007644F"/>
    <w:rsid w:val="00077B37"/>
    <w:rsid w:val="000819AA"/>
    <w:rsid w:val="000848F5"/>
    <w:rsid w:val="00085E9C"/>
    <w:rsid w:val="000900FB"/>
    <w:rsid w:val="0009097A"/>
    <w:rsid w:val="00092A34"/>
    <w:rsid w:val="00094967"/>
    <w:rsid w:val="0009633E"/>
    <w:rsid w:val="00096D15"/>
    <w:rsid w:val="000A0C61"/>
    <w:rsid w:val="000A787B"/>
    <w:rsid w:val="000B1F68"/>
    <w:rsid w:val="000B3667"/>
    <w:rsid w:val="000B5897"/>
    <w:rsid w:val="000B7F1B"/>
    <w:rsid w:val="000C33B9"/>
    <w:rsid w:val="000C42BC"/>
    <w:rsid w:val="000C5BAC"/>
    <w:rsid w:val="000C5BD4"/>
    <w:rsid w:val="000C6C8A"/>
    <w:rsid w:val="000D0E22"/>
    <w:rsid w:val="000D14FE"/>
    <w:rsid w:val="000D3567"/>
    <w:rsid w:val="000D40FA"/>
    <w:rsid w:val="000E0399"/>
    <w:rsid w:val="000E21BA"/>
    <w:rsid w:val="000E2D17"/>
    <w:rsid w:val="000E3240"/>
    <w:rsid w:val="000E41D0"/>
    <w:rsid w:val="000E45C1"/>
    <w:rsid w:val="000E56BB"/>
    <w:rsid w:val="000F038D"/>
    <w:rsid w:val="000F13D6"/>
    <w:rsid w:val="000F1D03"/>
    <w:rsid w:val="000F1D63"/>
    <w:rsid w:val="000F2C1D"/>
    <w:rsid w:val="000F4668"/>
    <w:rsid w:val="000F59EA"/>
    <w:rsid w:val="001011E6"/>
    <w:rsid w:val="00106229"/>
    <w:rsid w:val="001106D3"/>
    <w:rsid w:val="00113607"/>
    <w:rsid w:val="00114F94"/>
    <w:rsid w:val="001153A6"/>
    <w:rsid w:val="00120D17"/>
    <w:rsid w:val="00121B4C"/>
    <w:rsid w:val="00121B79"/>
    <w:rsid w:val="00122877"/>
    <w:rsid w:val="00124323"/>
    <w:rsid w:val="00131250"/>
    <w:rsid w:val="0013564D"/>
    <w:rsid w:val="001361FB"/>
    <w:rsid w:val="001363F0"/>
    <w:rsid w:val="0013699B"/>
    <w:rsid w:val="0013773B"/>
    <w:rsid w:val="00142D11"/>
    <w:rsid w:val="00143C8A"/>
    <w:rsid w:val="00145728"/>
    <w:rsid w:val="00145F31"/>
    <w:rsid w:val="001548F2"/>
    <w:rsid w:val="00154D9A"/>
    <w:rsid w:val="0015565F"/>
    <w:rsid w:val="00161BE3"/>
    <w:rsid w:val="00163539"/>
    <w:rsid w:val="0016698B"/>
    <w:rsid w:val="001678D4"/>
    <w:rsid w:val="00167E32"/>
    <w:rsid w:val="00170B5F"/>
    <w:rsid w:val="00172143"/>
    <w:rsid w:val="0017510D"/>
    <w:rsid w:val="0017569C"/>
    <w:rsid w:val="001756C7"/>
    <w:rsid w:val="00183012"/>
    <w:rsid w:val="0018374F"/>
    <w:rsid w:val="001844EC"/>
    <w:rsid w:val="001859F2"/>
    <w:rsid w:val="00186CFC"/>
    <w:rsid w:val="00187692"/>
    <w:rsid w:val="00187B5E"/>
    <w:rsid w:val="00191D9C"/>
    <w:rsid w:val="00193329"/>
    <w:rsid w:val="001955C5"/>
    <w:rsid w:val="00196636"/>
    <w:rsid w:val="00197671"/>
    <w:rsid w:val="00197E64"/>
    <w:rsid w:val="001A09BE"/>
    <w:rsid w:val="001A1AA2"/>
    <w:rsid w:val="001A2CFC"/>
    <w:rsid w:val="001A5990"/>
    <w:rsid w:val="001A6B4E"/>
    <w:rsid w:val="001A74C2"/>
    <w:rsid w:val="001B0F1B"/>
    <w:rsid w:val="001B0F8C"/>
    <w:rsid w:val="001B2E8E"/>
    <w:rsid w:val="001B4334"/>
    <w:rsid w:val="001B4FAC"/>
    <w:rsid w:val="001B5084"/>
    <w:rsid w:val="001C24C6"/>
    <w:rsid w:val="001C4343"/>
    <w:rsid w:val="001C5CC2"/>
    <w:rsid w:val="001D03C1"/>
    <w:rsid w:val="001D099B"/>
    <w:rsid w:val="001D0B8C"/>
    <w:rsid w:val="001D3AC4"/>
    <w:rsid w:val="001D40A3"/>
    <w:rsid w:val="001D443E"/>
    <w:rsid w:val="001D7032"/>
    <w:rsid w:val="001E13B2"/>
    <w:rsid w:val="001E28EE"/>
    <w:rsid w:val="001E7152"/>
    <w:rsid w:val="001E7A96"/>
    <w:rsid w:val="001F017B"/>
    <w:rsid w:val="001F1352"/>
    <w:rsid w:val="001F2F6E"/>
    <w:rsid w:val="001F5C91"/>
    <w:rsid w:val="001F6306"/>
    <w:rsid w:val="002005DE"/>
    <w:rsid w:val="00201684"/>
    <w:rsid w:val="0020196E"/>
    <w:rsid w:val="002038C7"/>
    <w:rsid w:val="002058C6"/>
    <w:rsid w:val="00206AB3"/>
    <w:rsid w:val="002078E1"/>
    <w:rsid w:val="0021042E"/>
    <w:rsid w:val="00215431"/>
    <w:rsid w:val="0022011E"/>
    <w:rsid w:val="002211EC"/>
    <w:rsid w:val="002234F6"/>
    <w:rsid w:val="00225C17"/>
    <w:rsid w:val="00225CE9"/>
    <w:rsid w:val="00227130"/>
    <w:rsid w:val="0023171F"/>
    <w:rsid w:val="00232F68"/>
    <w:rsid w:val="00234906"/>
    <w:rsid w:val="0023555E"/>
    <w:rsid w:val="00241615"/>
    <w:rsid w:val="0024211B"/>
    <w:rsid w:val="0024370E"/>
    <w:rsid w:val="002438AF"/>
    <w:rsid w:val="002447CC"/>
    <w:rsid w:val="00244C4D"/>
    <w:rsid w:val="00247331"/>
    <w:rsid w:val="00250784"/>
    <w:rsid w:val="00255305"/>
    <w:rsid w:val="0026030D"/>
    <w:rsid w:val="00260D17"/>
    <w:rsid w:val="002641F6"/>
    <w:rsid w:val="00266EE4"/>
    <w:rsid w:val="002721EC"/>
    <w:rsid w:val="00272CBF"/>
    <w:rsid w:val="00272D12"/>
    <w:rsid w:val="0027491A"/>
    <w:rsid w:val="002769F8"/>
    <w:rsid w:val="00277D25"/>
    <w:rsid w:val="0028338B"/>
    <w:rsid w:val="00285C08"/>
    <w:rsid w:val="0028751F"/>
    <w:rsid w:val="00292458"/>
    <w:rsid w:val="00295CDC"/>
    <w:rsid w:val="0029703D"/>
    <w:rsid w:val="002A24E4"/>
    <w:rsid w:val="002A3342"/>
    <w:rsid w:val="002A36E1"/>
    <w:rsid w:val="002A5B0C"/>
    <w:rsid w:val="002B2ED1"/>
    <w:rsid w:val="002B3331"/>
    <w:rsid w:val="002B3B5F"/>
    <w:rsid w:val="002B6F8E"/>
    <w:rsid w:val="002B77BE"/>
    <w:rsid w:val="002B7E11"/>
    <w:rsid w:val="002C1E18"/>
    <w:rsid w:val="002C3A50"/>
    <w:rsid w:val="002C3C48"/>
    <w:rsid w:val="002C61D6"/>
    <w:rsid w:val="002C64CD"/>
    <w:rsid w:val="002C75F4"/>
    <w:rsid w:val="002D20DF"/>
    <w:rsid w:val="002D341C"/>
    <w:rsid w:val="002D4633"/>
    <w:rsid w:val="002D579F"/>
    <w:rsid w:val="002D7910"/>
    <w:rsid w:val="002E0F4B"/>
    <w:rsid w:val="002E4338"/>
    <w:rsid w:val="002E4E18"/>
    <w:rsid w:val="002E6393"/>
    <w:rsid w:val="002E65B4"/>
    <w:rsid w:val="002F069B"/>
    <w:rsid w:val="002F06D4"/>
    <w:rsid w:val="002F0F80"/>
    <w:rsid w:val="002F2097"/>
    <w:rsid w:val="002F3057"/>
    <w:rsid w:val="002F5625"/>
    <w:rsid w:val="002F59F5"/>
    <w:rsid w:val="002F5D9E"/>
    <w:rsid w:val="002F69DE"/>
    <w:rsid w:val="002F6EF3"/>
    <w:rsid w:val="002F7FE8"/>
    <w:rsid w:val="00301901"/>
    <w:rsid w:val="00301C77"/>
    <w:rsid w:val="003021E2"/>
    <w:rsid w:val="0030469C"/>
    <w:rsid w:val="003071ED"/>
    <w:rsid w:val="00312E03"/>
    <w:rsid w:val="0031302A"/>
    <w:rsid w:val="00313DF9"/>
    <w:rsid w:val="00314703"/>
    <w:rsid w:val="003212C7"/>
    <w:rsid w:val="003221B0"/>
    <w:rsid w:val="00322A6A"/>
    <w:rsid w:val="00326CD0"/>
    <w:rsid w:val="003273C6"/>
    <w:rsid w:val="00327CC6"/>
    <w:rsid w:val="00330258"/>
    <w:rsid w:val="00331124"/>
    <w:rsid w:val="00331A0A"/>
    <w:rsid w:val="00336908"/>
    <w:rsid w:val="00336CA5"/>
    <w:rsid w:val="00344A6F"/>
    <w:rsid w:val="003464E7"/>
    <w:rsid w:val="00347A98"/>
    <w:rsid w:val="00350DF5"/>
    <w:rsid w:val="00352EA2"/>
    <w:rsid w:val="0035400B"/>
    <w:rsid w:val="00354ABB"/>
    <w:rsid w:val="00360092"/>
    <w:rsid w:val="0036056C"/>
    <w:rsid w:val="00361BFF"/>
    <w:rsid w:val="00361D9D"/>
    <w:rsid w:val="003655B7"/>
    <w:rsid w:val="00365958"/>
    <w:rsid w:val="00366EAC"/>
    <w:rsid w:val="00370EFB"/>
    <w:rsid w:val="00372623"/>
    <w:rsid w:val="00373383"/>
    <w:rsid w:val="00376416"/>
    <w:rsid w:val="0037721D"/>
    <w:rsid w:val="00381669"/>
    <w:rsid w:val="00382EAC"/>
    <w:rsid w:val="0038332A"/>
    <w:rsid w:val="003854CC"/>
    <w:rsid w:val="00385573"/>
    <w:rsid w:val="00385B61"/>
    <w:rsid w:val="00385FB1"/>
    <w:rsid w:val="003876FF"/>
    <w:rsid w:val="00390911"/>
    <w:rsid w:val="003911EF"/>
    <w:rsid w:val="00391923"/>
    <w:rsid w:val="003931B2"/>
    <w:rsid w:val="003978D4"/>
    <w:rsid w:val="003A25CE"/>
    <w:rsid w:val="003A407E"/>
    <w:rsid w:val="003A7D7B"/>
    <w:rsid w:val="003B0C1F"/>
    <w:rsid w:val="003B2FB4"/>
    <w:rsid w:val="003B40D8"/>
    <w:rsid w:val="003B4858"/>
    <w:rsid w:val="003B6D43"/>
    <w:rsid w:val="003B7551"/>
    <w:rsid w:val="003C1C73"/>
    <w:rsid w:val="003C2425"/>
    <w:rsid w:val="003C65A0"/>
    <w:rsid w:val="003C66E4"/>
    <w:rsid w:val="003C759E"/>
    <w:rsid w:val="003D0062"/>
    <w:rsid w:val="003D2784"/>
    <w:rsid w:val="003D2A86"/>
    <w:rsid w:val="003D385B"/>
    <w:rsid w:val="003D3A2F"/>
    <w:rsid w:val="003D46C7"/>
    <w:rsid w:val="003D60E3"/>
    <w:rsid w:val="003D685E"/>
    <w:rsid w:val="003E1E25"/>
    <w:rsid w:val="003E201D"/>
    <w:rsid w:val="003E64D5"/>
    <w:rsid w:val="003E6D08"/>
    <w:rsid w:val="003F0361"/>
    <w:rsid w:val="003F0DB1"/>
    <w:rsid w:val="003F2F8D"/>
    <w:rsid w:val="003F5355"/>
    <w:rsid w:val="003F5783"/>
    <w:rsid w:val="00402435"/>
    <w:rsid w:val="00402956"/>
    <w:rsid w:val="0040329F"/>
    <w:rsid w:val="00407419"/>
    <w:rsid w:val="004101B5"/>
    <w:rsid w:val="00410237"/>
    <w:rsid w:val="00413420"/>
    <w:rsid w:val="00414E72"/>
    <w:rsid w:val="00415284"/>
    <w:rsid w:val="00416B85"/>
    <w:rsid w:val="00417868"/>
    <w:rsid w:val="0042187C"/>
    <w:rsid w:val="00421E52"/>
    <w:rsid w:val="00424CF4"/>
    <w:rsid w:val="004255A1"/>
    <w:rsid w:val="00427610"/>
    <w:rsid w:val="00433526"/>
    <w:rsid w:val="0043390C"/>
    <w:rsid w:val="00436954"/>
    <w:rsid w:val="0043711D"/>
    <w:rsid w:val="00442BAE"/>
    <w:rsid w:val="004431E1"/>
    <w:rsid w:val="0044444C"/>
    <w:rsid w:val="00446843"/>
    <w:rsid w:val="00447CCF"/>
    <w:rsid w:val="0046241A"/>
    <w:rsid w:val="00462A62"/>
    <w:rsid w:val="004635A6"/>
    <w:rsid w:val="00463B8E"/>
    <w:rsid w:val="00465C76"/>
    <w:rsid w:val="00471D75"/>
    <w:rsid w:val="004722B5"/>
    <w:rsid w:val="00474566"/>
    <w:rsid w:val="00476D42"/>
    <w:rsid w:val="00485179"/>
    <w:rsid w:val="00485742"/>
    <w:rsid w:val="00487B41"/>
    <w:rsid w:val="0049434C"/>
    <w:rsid w:val="004961C6"/>
    <w:rsid w:val="004A3626"/>
    <w:rsid w:val="004A645C"/>
    <w:rsid w:val="004B1278"/>
    <w:rsid w:val="004B3E16"/>
    <w:rsid w:val="004B6284"/>
    <w:rsid w:val="004B678C"/>
    <w:rsid w:val="004B6B8B"/>
    <w:rsid w:val="004C0366"/>
    <w:rsid w:val="004C0E61"/>
    <w:rsid w:val="004C132C"/>
    <w:rsid w:val="004C540E"/>
    <w:rsid w:val="004D275A"/>
    <w:rsid w:val="004D299C"/>
    <w:rsid w:val="004D334D"/>
    <w:rsid w:val="004D707B"/>
    <w:rsid w:val="004E0E9C"/>
    <w:rsid w:val="004E1F2C"/>
    <w:rsid w:val="004E3D3D"/>
    <w:rsid w:val="004E4B17"/>
    <w:rsid w:val="004F0120"/>
    <w:rsid w:val="004F5A32"/>
    <w:rsid w:val="004F6F56"/>
    <w:rsid w:val="00506B89"/>
    <w:rsid w:val="00506C51"/>
    <w:rsid w:val="00510BB5"/>
    <w:rsid w:val="005119EB"/>
    <w:rsid w:val="00517BBE"/>
    <w:rsid w:val="005213F0"/>
    <w:rsid w:val="00523011"/>
    <w:rsid w:val="005246ED"/>
    <w:rsid w:val="005255D0"/>
    <w:rsid w:val="00525792"/>
    <w:rsid w:val="005305A3"/>
    <w:rsid w:val="00531329"/>
    <w:rsid w:val="00531385"/>
    <w:rsid w:val="0053619C"/>
    <w:rsid w:val="005414E8"/>
    <w:rsid w:val="00543F44"/>
    <w:rsid w:val="005460A0"/>
    <w:rsid w:val="0054676C"/>
    <w:rsid w:val="005500BB"/>
    <w:rsid w:val="005504CC"/>
    <w:rsid w:val="005525B6"/>
    <w:rsid w:val="00553530"/>
    <w:rsid w:val="005540EB"/>
    <w:rsid w:val="005549D2"/>
    <w:rsid w:val="00556DCE"/>
    <w:rsid w:val="0056156D"/>
    <w:rsid w:val="0056236F"/>
    <w:rsid w:val="005625B1"/>
    <w:rsid w:val="00562638"/>
    <w:rsid w:val="00563D42"/>
    <w:rsid w:val="00563DD4"/>
    <w:rsid w:val="005644B4"/>
    <w:rsid w:val="005650EE"/>
    <w:rsid w:val="0056593C"/>
    <w:rsid w:val="00565B66"/>
    <w:rsid w:val="00566D34"/>
    <w:rsid w:val="0056775F"/>
    <w:rsid w:val="00571C6E"/>
    <w:rsid w:val="00574F93"/>
    <w:rsid w:val="0057785A"/>
    <w:rsid w:val="00581457"/>
    <w:rsid w:val="00581F4F"/>
    <w:rsid w:val="00583896"/>
    <w:rsid w:val="00586A3A"/>
    <w:rsid w:val="005952D0"/>
    <w:rsid w:val="005A1481"/>
    <w:rsid w:val="005A18D2"/>
    <w:rsid w:val="005A2A40"/>
    <w:rsid w:val="005A31D9"/>
    <w:rsid w:val="005A6107"/>
    <w:rsid w:val="005B12F0"/>
    <w:rsid w:val="005B2C2C"/>
    <w:rsid w:val="005B3A3C"/>
    <w:rsid w:val="005B6CC3"/>
    <w:rsid w:val="005C29D5"/>
    <w:rsid w:val="005C5747"/>
    <w:rsid w:val="005C648D"/>
    <w:rsid w:val="005C6F41"/>
    <w:rsid w:val="005D0B46"/>
    <w:rsid w:val="005D1BCF"/>
    <w:rsid w:val="005D292D"/>
    <w:rsid w:val="005D4399"/>
    <w:rsid w:val="005D44E3"/>
    <w:rsid w:val="005D53B4"/>
    <w:rsid w:val="005D57DB"/>
    <w:rsid w:val="005D5969"/>
    <w:rsid w:val="005D7A82"/>
    <w:rsid w:val="005F1B29"/>
    <w:rsid w:val="005F49A6"/>
    <w:rsid w:val="005F557D"/>
    <w:rsid w:val="006042A0"/>
    <w:rsid w:val="00604B2A"/>
    <w:rsid w:val="00605F00"/>
    <w:rsid w:val="00610569"/>
    <w:rsid w:val="00610EC7"/>
    <w:rsid w:val="006110BC"/>
    <w:rsid w:val="00611175"/>
    <w:rsid w:val="00611722"/>
    <w:rsid w:val="00614385"/>
    <w:rsid w:val="006164F2"/>
    <w:rsid w:val="00617E7A"/>
    <w:rsid w:val="00620C33"/>
    <w:rsid w:val="006211B9"/>
    <w:rsid w:val="0062164A"/>
    <w:rsid w:val="00626367"/>
    <w:rsid w:val="0063037A"/>
    <w:rsid w:val="00630B55"/>
    <w:rsid w:val="00632035"/>
    <w:rsid w:val="00640437"/>
    <w:rsid w:val="00641BE0"/>
    <w:rsid w:val="00641CDB"/>
    <w:rsid w:val="006436DB"/>
    <w:rsid w:val="006446CA"/>
    <w:rsid w:val="0064640F"/>
    <w:rsid w:val="0065048C"/>
    <w:rsid w:val="00651408"/>
    <w:rsid w:val="00652B29"/>
    <w:rsid w:val="00652D55"/>
    <w:rsid w:val="00652E6C"/>
    <w:rsid w:val="0065385F"/>
    <w:rsid w:val="00653C55"/>
    <w:rsid w:val="00653C81"/>
    <w:rsid w:val="006545E2"/>
    <w:rsid w:val="0065490A"/>
    <w:rsid w:val="00656EDA"/>
    <w:rsid w:val="006571AB"/>
    <w:rsid w:val="00657716"/>
    <w:rsid w:val="00671852"/>
    <w:rsid w:val="00671973"/>
    <w:rsid w:val="00676A3E"/>
    <w:rsid w:val="00680950"/>
    <w:rsid w:val="00680EF2"/>
    <w:rsid w:val="006843EA"/>
    <w:rsid w:val="00684CE3"/>
    <w:rsid w:val="00687D88"/>
    <w:rsid w:val="00696079"/>
    <w:rsid w:val="00696121"/>
    <w:rsid w:val="0069624C"/>
    <w:rsid w:val="006A1DB9"/>
    <w:rsid w:val="006A6C13"/>
    <w:rsid w:val="006B43C0"/>
    <w:rsid w:val="006B48A2"/>
    <w:rsid w:val="006B5937"/>
    <w:rsid w:val="006B5B86"/>
    <w:rsid w:val="006B7472"/>
    <w:rsid w:val="006C1256"/>
    <w:rsid w:val="006C2276"/>
    <w:rsid w:val="006C6CCC"/>
    <w:rsid w:val="006D030D"/>
    <w:rsid w:val="006D14CB"/>
    <w:rsid w:val="006D2FEB"/>
    <w:rsid w:val="006D5892"/>
    <w:rsid w:val="006D6729"/>
    <w:rsid w:val="006E19CB"/>
    <w:rsid w:val="006E3D6A"/>
    <w:rsid w:val="006E738E"/>
    <w:rsid w:val="006F2738"/>
    <w:rsid w:val="006F5EB4"/>
    <w:rsid w:val="007010D8"/>
    <w:rsid w:val="007015D8"/>
    <w:rsid w:val="007053EB"/>
    <w:rsid w:val="00705A40"/>
    <w:rsid w:val="00710382"/>
    <w:rsid w:val="007152D6"/>
    <w:rsid w:val="007154F5"/>
    <w:rsid w:val="00715692"/>
    <w:rsid w:val="00716799"/>
    <w:rsid w:val="007175F5"/>
    <w:rsid w:val="007176AB"/>
    <w:rsid w:val="00722336"/>
    <w:rsid w:val="007239FC"/>
    <w:rsid w:val="00723F3B"/>
    <w:rsid w:val="00726058"/>
    <w:rsid w:val="00726D0C"/>
    <w:rsid w:val="007279A6"/>
    <w:rsid w:val="00727E2A"/>
    <w:rsid w:val="00730F6A"/>
    <w:rsid w:val="00733864"/>
    <w:rsid w:val="00735A71"/>
    <w:rsid w:val="007406EF"/>
    <w:rsid w:val="00743CFB"/>
    <w:rsid w:val="00743FDF"/>
    <w:rsid w:val="00745199"/>
    <w:rsid w:val="007456DB"/>
    <w:rsid w:val="00745AFF"/>
    <w:rsid w:val="00747449"/>
    <w:rsid w:val="00747CD1"/>
    <w:rsid w:val="00751459"/>
    <w:rsid w:val="007527AF"/>
    <w:rsid w:val="00755613"/>
    <w:rsid w:val="00756BFD"/>
    <w:rsid w:val="00756CB8"/>
    <w:rsid w:val="0076043F"/>
    <w:rsid w:val="00760E36"/>
    <w:rsid w:val="007645EA"/>
    <w:rsid w:val="007678C3"/>
    <w:rsid w:val="0077075E"/>
    <w:rsid w:val="007707A3"/>
    <w:rsid w:val="00773A2C"/>
    <w:rsid w:val="007777A2"/>
    <w:rsid w:val="007845AA"/>
    <w:rsid w:val="007846B5"/>
    <w:rsid w:val="00786DFB"/>
    <w:rsid w:val="00790865"/>
    <w:rsid w:val="007913A9"/>
    <w:rsid w:val="007917E7"/>
    <w:rsid w:val="00793EC1"/>
    <w:rsid w:val="007943B4"/>
    <w:rsid w:val="00795C02"/>
    <w:rsid w:val="00796376"/>
    <w:rsid w:val="0079690F"/>
    <w:rsid w:val="007A0482"/>
    <w:rsid w:val="007A21F0"/>
    <w:rsid w:val="007A22B2"/>
    <w:rsid w:val="007A23E6"/>
    <w:rsid w:val="007A3BB7"/>
    <w:rsid w:val="007A3CA3"/>
    <w:rsid w:val="007A4F3D"/>
    <w:rsid w:val="007B0A2B"/>
    <w:rsid w:val="007B17C5"/>
    <w:rsid w:val="007B3764"/>
    <w:rsid w:val="007B3938"/>
    <w:rsid w:val="007B3B28"/>
    <w:rsid w:val="007B54BC"/>
    <w:rsid w:val="007B6D9D"/>
    <w:rsid w:val="007C23F6"/>
    <w:rsid w:val="007C59F0"/>
    <w:rsid w:val="007D2DE1"/>
    <w:rsid w:val="007D5647"/>
    <w:rsid w:val="007D629D"/>
    <w:rsid w:val="007E25DC"/>
    <w:rsid w:val="007E5744"/>
    <w:rsid w:val="007F255F"/>
    <w:rsid w:val="007F29FC"/>
    <w:rsid w:val="007F2BFA"/>
    <w:rsid w:val="007F2C32"/>
    <w:rsid w:val="007F628F"/>
    <w:rsid w:val="007F7BD7"/>
    <w:rsid w:val="00803679"/>
    <w:rsid w:val="00803C90"/>
    <w:rsid w:val="00806219"/>
    <w:rsid w:val="008074C3"/>
    <w:rsid w:val="00807ECA"/>
    <w:rsid w:val="0081039D"/>
    <w:rsid w:val="00810950"/>
    <w:rsid w:val="008156A0"/>
    <w:rsid w:val="0081647B"/>
    <w:rsid w:val="00817E05"/>
    <w:rsid w:val="0082232E"/>
    <w:rsid w:val="00824919"/>
    <w:rsid w:val="00827C44"/>
    <w:rsid w:val="00832A3D"/>
    <w:rsid w:val="0083796C"/>
    <w:rsid w:val="00837DDE"/>
    <w:rsid w:val="0084287A"/>
    <w:rsid w:val="00843057"/>
    <w:rsid w:val="00843569"/>
    <w:rsid w:val="00845FA2"/>
    <w:rsid w:val="008525C8"/>
    <w:rsid w:val="008526C1"/>
    <w:rsid w:val="00854ACA"/>
    <w:rsid w:val="00855B07"/>
    <w:rsid w:val="00855E96"/>
    <w:rsid w:val="008570BD"/>
    <w:rsid w:val="00863994"/>
    <w:rsid w:val="008675C0"/>
    <w:rsid w:val="00873771"/>
    <w:rsid w:val="00875313"/>
    <w:rsid w:val="00875700"/>
    <w:rsid w:val="00883388"/>
    <w:rsid w:val="0088477C"/>
    <w:rsid w:val="00884DE6"/>
    <w:rsid w:val="0088637C"/>
    <w:rsid w:val="00890642"/>
    <w:rsid w:val="0089113D"/>
    <w:rsid w:val="00891201"/>
    <w:rsid w:val="00895D77"/>
    <w:rsid w:val="00896904"/>
    <w:rsid w:val="008A1F12"/>
    <w:rsid w:val="008A2CE2"/>
    <w:rsid w:val="008A3128"/>
    <w:rsid w:val="008A4B1C"/>
    <w:rsid w:val="008A4BD9"/>
    <w:rsid w:val="008A5FDC"/>
    <w:rsid w:val="008B1DF5"/>
    <w:rsid w:val="008B25AB"/>
    <w:rsid w:val="008B5494"/>
    <w:rsid w:val="008B5761"/>
    <w:rsid w:val="008C09D9"/>
    <w:rsid w:val="008C2630"/>
    <w:rsid w:val="008C3FF9"/>
    <w:rsid w:val="008C5CEB"/>
    <w:rsid w:val="008C6565"/>
    <w:rsid w:val="008C6EC0"/>
    <w:rsid w:val="008D2608"/>
    <w:rsid w:val="008D2935"/>
    <w:rsid w:val="008D541E"/>
    <w:rsid w:val="008D7F0D"/>
    <w:rsid w:val="008E13F1"/>
    <w:rsid w:val="008E2330"/>
    <w:rsid w:val="008E453E"/>
    <w:rsid w:val="008F0DE2"/>
    <w:rsid w:val="008F1A88"/>
    <w:rsid w:val="008F4756"/>
    <w:rsid w:val="008F7991"/>
    <w:rsid w:val="00902565"/>
    <w:rsid w:val="00905E2D"/>
    <w:rsid w:val="00907F5A"/>
    <w:rsid w:val="0091192D"/>
    <w:rsid w:val="009123A4"/>
    <w:rsid w:val="00913E42"/>
    <w:rsid w:val="00914807"/>
    <w:rsid w:val="00914A5D"/>
    <w:rsid w:val="00916A73"/>
    <w:rsid w:val="00916EA3"/>
    <w:rsid w:val="00925863"/>
    <w:rsid w:val="00925CF5"/>
    <w:rsid w:val="009260B0"/>
    <w:rsid w:val="00930858"/>
    <w:rsid w:val="0093087A"/>
    <w:rsid w:val="00931320"/>
    <w:rsid w:val="0093198D"/>
    <w:rsid w:val="00931FE0"/>
    <w:rsid w:val="00932AB2"/>
    <w:rsid w:val="009336C4"/>
    <w:rsid w:val="009364E0"/>
    <w:rsid w:val="00936648"/>
    <w:rsid w:val="009379F4"/>
    <w:rsid w:val="009403B3"/>
    <w:rsid w:val="009408C7"/>
    <w:rsid w:val="00947F31"/>
    <w:rsid w:val="00950A4D"/>
    <w:rsid w:val="0095545A"/>
    <w:rsid w:val="00955B18"/>
    <w:rsid w:val="00970F3E"/>
    <w:rsid w:val="00973D15"/>
    <w:rsid w:val="00975977"/>
    <w:rsid w:val="00976232"/>
    <w:rsid w:val="0098130A"/>
    <w:rsid w:val="0098357B"/>
    <w:rsid w:val="00985B62"/>
    <w:rsid w:val="00987C14"/>
    <w:rsid w:val="00991E44"/>
    <w:rsid w:val="00996964"/>
    <w:rsid w:val="009970DD"/>
    <w:rsid w:val="009975FF"/>
    <w:rsid w:val="00997E91"/>
    <w:rsid w:val="009A1625"/>
    <w:rsid w:val="009A3C00"/>
    <w:rsid w:val="009A7DBF"/>
    <w:rsid w:val="009B4128"/>
    <w:rsid w:val="009B7AF2"/>
    <w:rsid w:val="009C063D"/>
    <w:rsid w:val="009C5C15"/>
    <w:rsid w:val="009C5C3A"/>
    <w:rsid w:val="009D1ACE"/>
    <w:rsid w:val="009D25E4"/>
    <w:rsid w:val="009D4097"/>
    <w:rsid w:val="009E1838"/>
    <w:rsid w:val="009E253E"/>
    <w:rsid w:val="009E35A2"/>
    <w:rsid w:val="009E3F6E"/>
    <w:rsid w:val="009F0AD8"/>
    <w:rsid w:val="009F314D"/>
    <w:rsid w:val="009F7507"/>
    <w:rsid w:val="00A00476"/>
    <w:rsid w:val="00A04786"/>
    <w:rsid w:val="00A04BA8"/>
    <w:rsid w:val="00A069FE"/>
    <w:rsid w:val="00A06F4F"/>
    <w:rsid w:val="00A07F48"/>
    <w:rsid w:val="00A10F6A"/>
    <w:rsid w:val="00A12EA6"/>
    <w:rsid w:val="00A170C4"/>
    <w:rsid w:val="00A171DB"/>
    <w:rsid w:val="00A17999"/>
    <w:rsid w:val="00A17C25"/>
    <w:rsid w:val="00A21103"/>
    <w:rsid w:val="00A22CD0"/>
    <w:rsid w:val="00A24235"/>
    <w:rsid w:val="00A25966"/>
    <w:rsid w:val="00A267F9"/>
    <w:rsid w:val="00A26FA2"/>
    <w:rsid w:val="00A303B8"/>
    <w:rsid w:val="00A36D32"/>
    <w:rsid w:val="00A375BA"/>
    <w:rsid w:val="00A402FA"/>
    <w:rsid w:val="00A404E2"/>
    <w:rsid w:val="00A44060"/>
    <w:rsid w:val="00A4458C"/>
    <w:rsid w:val="00A50147"/>
    <w:rsid w:val="00A50459"/>
    <w:rsid w:val="00A51193"/>
    <w:rsid w:val="00A51F97"/>
    <w:rsid w:val="00A55FDF"/>
    <w:rsid w:val="00A616B3"/>
    <w:rsid w:val="00A62830"/>
    <w:rsid w:val="00A634C4"/>
    <w:rsid w:val="00A6648D"/>
    <w:rsid w:val="00A703B8"/>
    <w:rsid w:val="00A70C13"/>
    <w:rsid w:val="00A71FCA"/>
    <w:rsid w:val="00A73496"/>
    <w:rsid w:val="00A8338E"/>
    <w:rsid w:val="00A83F65"/>
    <w:rsid w:val="00A8426A"/>
    <w:rsid w:val="00A903D6"/>
    <w:rsid w:val="00A90596"/>
    <w:rsid w:val="00A906E4"/>
    <w:rsid w:val="00A96E11"/>
    <w:rsid w:val="00AA031D"/>
    <w:rsid w:val="00AA0D4A"/>
    <w:rsid w:val="00AA1B16"/>
    <w:rsid w:val="00AA3166"/>
    <w:rsid w:val="00AA36C6"/>
    <w:rsid w:val="00AA36D7"/>
    <w:rsid w:val="00AA379D"/>
    <w:rsid w:val="00AA4AD4"/>
    <w:rsid w:val="00AA50E7"/>
    <w:rsid w:val="00AB19BD"/>
    <w:rsid w:val="00AB2069"/>
    <w:rsid w:val="00AB739F"/>
    <w:rsid w:val="00AC2117"/>
    <w:rsid w:val="00AC2766"/>
    <w:rsid w:val="00AC29DB"/>
    <w:rsid w:val="00AC2B0A"/>
    <w:rsid w:val="00AC6687"/>
    <w:rsid w:val="00AC67F2"/>
    <w:rsid w:val="00AD3100"/>
    <w:rsid w:val="00AD3C63"/>
    <w:rsid w:val="00AD42F1"/>
    <w:rsid w:val="00AD462E"/>
    <w:rsid w:val="00AD5D63"/>
    <w:rsid w:val="00AE1454"/>
    <w:rsid w:val="00AE4A8D"/>
    <w:rsid w:val="00AE5D96"/>
    <w:rsid w:val="00AE6F74"/>
    <w:rsid w:val="00AE7BD7"/>
    <w:rsid w:val="00AF639F"/>
    <w:rsid w:val="00AF757F"/>
    <w:rsid w:val="00AF7D7B"/>
    <w:rsid w:val="00B0685A"/>
    <w:rsid w:val="00B12B7E"/>
    <w:rsid w:val="00B16560"/>
    <w:rsid w:val="00B17C89"/>
    <w:rsid w:val="00B23DEB"/>
    <w:rsid w:val="00B2429E"/>
    <w:rsid w:val="00B259A9"/>
    <w:rsid w:val="00B25CAE"/>
    <w:rsid w:val="00B265E8"/>
    <w:rsid w:val="00B26AE2"/>
    <w:rsid w:val="00B26CC1"/>
    <w:rsid w:val="00B271DC"/>
    <w:rsid w:val="00B325A8"/>
    <w:rsid w:val="00B32964"/>
    <w:rsid w:val="00B32B75"/>
    <w:rsid w:val="00B40F9A"/>
    <w:rsid w:val="00B429AB"/>
    <w:rsid w:val="00B4307A"/>
    <w:rsid w:val="00B432D0"/>
    <w:rsid w:val="00B4651F"/>
    <w:rsid w:val="00B54C08"/>
    <w:rsid w:val="00B54FAD"/>
    <w:rsid w:val="00B6117E"/>
    <w:rsid w:val="00B63338"/>
    <w:rsid w:val="00B63EA1"/>
    <w:rsid w:val="00B661E2"/>
    <w:rsid w:val="00B66C24"/>
    <w:rsid w:val="00B66D41"/>
    <w:rsid w:val="00B66F95"/>
    <w:rsid w:val="00B72A52"/>
    <w:rsid w:val="00B72C77"/>
    <w:rsid w:val="00B7445F"/>
    <w:rsid w:val="00B74BD6"/>
    <w:rsid w:val="00B7682B"/>
    <w:rsid w:val="00B76DA0"/>
    <w:rsid w:val="00B80119"/>
    <w:rsid w:val="00B80482"/>
    <w:rsid w:val="00B82E2D"/>
    <w:rsid w:val="00B83056"/>
    <w:rsid w:val="00B83F03"/>
    <w:rsid w:val="00B84036"/>
    <w:rsid w:val="00B86C77"/>
    <w:rsid w:val="00B87D60"/>
    <w:rsid w:val="00B92D1D"/>
    <w:rsid w:val="00B9510C"/>
    <w:rsid w:val="00B95641"/>
    <w:rsid w:val="00B9587D"/>
    <w:rsid w:val="00B97807"/>
    <w:rsid w:val="00B97E9A"/>
    <w:rsid w:val="00BA733E"/>
    <w:rsid w:val="00BB1878"/>
    <w:rsid w:val="00BB196E"/>
    <w:rsid w:val="00BC026F"/>
    <w:rsid w:val="00BC0DC4"/>
    <w:rsid w:val="00BC1098"/>
    <w:rsid w:val="00BC1EAC"/>
    <w:rsid w:val="00BC470B"/>
    <w:rsid w:val="00BD1D2C"/>
    <w:rsid w:val="00BD29A7"/>
    <w:rsid w:val="00BE2065"/>
    <w:rsid w:val="00BE35B1"/>
    <w:rsid w:val="00BE5CC7"/>
    <w:rsid w:val="00BE60C3"/>
    <w:rsid w:val="00BE6A1C"/>
    <w:rsid w:val="00BF36E5"/>
    <w:rsid w:val="00BF5E71"/>
    <w:rsid w:val="00BF66B6"/>
    <w:rsid w:val="00BF75F9"/>
    <w:rsid w:val="00C0377A"/>
    <w:rsid w:val="00C11C4D"/>
    <w:rsid w:val="00C12813"/>
    <w:rsid w:val="00C129D0"/>
    <w:rsid w:val="00C14357"/>
    <w:rsid w:val="00C1544E"/>
    <w:rsid w:val="00C15C84"/>
    <w:rsid w:val="00C16226"/>
    <w:rsid w:val="00C22829"/>
    <w:rsid w:val="00C23C8F"/>
    <w:rsid w:val="00C279D6"/>
    <w:rsid w:val="00C31B30"/>
    <w:rsid w:val="00C3222C"/>
    <w:rsid w:val="00C357D8"/>
    <w:rsid w:val="00C369FF"/>
    <w:rsid w:val="00C407C8"/>
    <w:rsid w:val="00C43BF9"/>
    <w:rsid w:val="00C453E6"/>
    <w:rsid w:val="00C45D03"/>
    <w:rsid w:val="00C45DF4"/>
    <w:rsid w:val="00C55AE6"/>
    <w:rsid w:val="00C56784"/>
    <w:rsid w:val="00C61F19"/>
    <w:rsid w:val="00C637CB"/>
    <w:rsid w:val="00C639B4"/>
    <w:rsid w:val="00C64AB7"/>
    <w:rsid w:val="00C65500"/>
    <w:rsid w:val="00C66462"/>
    <w:rsid w:val="00C67827"/>
    <w:rsid w:val="00C71046"/>
    <w:rsid w:val="00C72D31"/>
    <w:rsid w:val="00C81BAE"/>
    <w:rsid w:val="00C8242F"/>
    <w:rsid w:val="00C831A9"/>
    <w:rsid w:val="00C83990"/>
    <w:rsid w:val="00C8400A"/>
    <w:rsid w:val="00C848E6"/>
    <w:rsid w:val="00C84DF7"/>
    <w:rsid w:val="00C8503D"/>
    <w:rsid w:val="00C8511B"/>
    <w:rsid w:val="00C8523C"/>
    <w:rsid w:val="00C85590"/>
    <w:rsid w:val="00C85CB8"/>
    <w:rsid w:val="00C863F6"/>
    <w:rsid w:val="00C86852"/>
    <w:rsid w:val="00C906A3"/>
    <w:rsid w:val="00C928DD"/>
    <w:rsid w:val="00C92B98"/>
    <w:rsid w:val="00C931D7"/>
    <w:rsid w:val="00C93B9E"/>
    <w:rsid w:val="00CA2DF5"/>
    <w:rsid w:val="00CA33A1"/>
    <w:rsid w:val="00CA5886"/>
    <w:rsid w:val="00CA5E5A"/>
    <w:rsid w:val="00CB0E74"/>
    <w:rsid w:val="00CB130F"/>
    <w:rsid w:val="00CB1B79"/>
    <w:rsid w:val="00CB27EA"/>
    <w:rsid w:val="00CB329B"/>
    <w:rsid w:val="00CB3860"/>
    <w:rsid w:val="00CB4B59"/>
    <w:rsid w:val="00CB7D81"/>
    <w:rsid w:val="00CC1805"/>
    <w:rsid w:val="00CC657B"/>
    <w:rsid w:val="00CC7B64"/>
    <w:rsid w:val="00CD0A14"/>
    <w:rsid w:val="00CD38D5"/>
    <w:rsid w:val="00CD68AD"/>
    <w:rsid w:val="00CE0197"/>
    <w:rsid w:val="00CE414C"/>
    <w:rsid w:val="00CE558B"/>
    <w:rsid w:val="00CE778F"/>
    <w:rsid w:val="00CF0ABD"/>
    <w:rsid w:val="00CF2776"/>
    <w:rsid w:val="00CF30D5"/>
    <w:rsid w:val="00D0401F"/>
    <w:rsid w:val="00D059B3"/>
    <w:rsid w:val="00D10258"/>
    <w:rsid w:val="00D12ADE"/>
    <w:rsid w:val="00D1438A"/>
    <w:rsid w:val="00D15A19"/>
    <w:rsid w:val="00D16527"/>
    <w:rsid w:val="00D17EEA"/>
    <w:rsid w:val="00D21088"/>
    <w:rsid w:val="00D303D5"/>
    <w:rsid w:val="00D32891"/>
    <w:rsid w:val="00D3435A"/>
    <w:rsid w:val="00D34BBA"/>
    <w:rsid w:val="00D34FC5"/>
    <w:rsid w:val="00D37385"/>
    <w:rsid w:val="00D3743F"/>
    <w:rsid w:val="00D40AA5"/>
    <w:rsid w:val="00D41C87"/>
    <w:rsid w:val="00D425BC"/>
    <w:rsid w:val="00D430F5"/>
    <w:rsid w:val="00D45DC6"/>
    <w:rsid w:val="00D506D8"/>
    <w:rsid w:val="00D51C8B"/>
    <w:rsid w:val="00D521EC"/>
    <w:rsid w:val="00D564D3"/>
    <w:rsid w:val="00D5787E"/>
    <w:rsid w:val="00D60FA5"/>
    <w:rsid w:val="00D61BB3"/>
    <w:rsid w:val="00D67B8F"/>
    <w:rsid w:val="00D708AA"/>
    <w:rsid w:val="00D71BC0"/>
    <w:rsid w:val="00D72589"/>
    <w:rsid w:val="00D7308C"/>
    <w:rsid w:val="00D73633"/>
    <w:rsid w:val="00D7393D"/>
    <w:rsid w:val="00D76B7C"/>
    <w:rsid w:val="00D77498"/>
    <w:rsid w:val="00D8455C"/>
    <w:rsid w:val="00D865BC"/>
    <w:rsid w:val="00D879A8"/>
    <w:rsid w:val="00D9158B"/>
    <w:rsid w:val="00D93367"/>
    <w:rsid w:val="00DA0862"/>
    <w:rsid w:val="00DA1BAC"/>
    <w:rsid w:val="00DA2691"/>
    <w:rsid w:val="00DA5A7B"/>
    <w:rsid w:val="00DB0B2F"/>
    <w:rsid w:val="00DB11D9"/>
    <w:rsid w:val="00DB1414"/>
    <w:rsid w:val="00DB1F3A"/>
    <w:rsid w:val="00DB2785"/>
    <w:rsid w:val="00DB642D"/>
    <w:rsid w:val="00DB78FA"/>
    <w:rsid w:val="00DC1DC7"/>
    <w:rsid w:val="00DD2935"/>
    <w:rsid w:val="00DD30FD"/>
    <w:rsid w:val="00DD314F"/>
    <w:rsid w:val="00DE14D7"/>
    <w:rsid w:val="00DE2CEC"/>
    <w:rsid w:val="00DE4879"/>
    <w:rsid w:val="00DF0057"/>
    <w:rsid w:val="00DF0EDE"/>
    <w:rsid w:val="00DF1017"/>
    <w:rsid w:val="00DF375D"/>
    <w:rsid w:val="00DF57B1"/>
    <w:rsid w:val="00DF5C73"/>
    <w:rsid w:val="00DF6A28"/>
    <w:rsid w:val="00DF746C"/>
    <w:rsid w:val="00DF7C38"/>
    <w:rsid w:val="00E0054C"/>
    <w:rsid w:val="00E024A2"/>
    <w:rsid w:val="00E0730C"/>
    <w:rsid w:val="00E10E0E"/>
    <w:rsid w:val="00E137E9"/>
    <w:rsid w:val="00E21069"/>
    <w:rsid w:val="00E22397"/>
    <w:rsid w:val="00E22A71"/>
    <w:rsid w:val="00E23916"/>
    <w:rsid w:val="00E26483"/>
    <w:rsid w:val="00E30438"/>
    <w:rsid w:val="00E327BA"/>
    <w:rsid w:val="00E32B66"/>
    <w:rsid w:val="00E34273"/>
    <w:rsid w:val="00E37B83"/>
    <w:rsid w:val="00E4262B"/>
    <w:rsid w:val="00E45733"/>
    <w:rsid w:val="00E45849"/>
    <w:rsid w:val="00E506FC"/>
    <w:rsid w:val="00E507D0"/>
    <w:rsid w:val="00E51CC1"/>
    <w:rsid w:val="00E52ADF"/>
    <w:rsid w:val="00E53D03"/>
    <w:rsid w:val="00E568A5"/>
    <w:rsid w:val="00E577EA"/>
    <w:rsid w:val="00E57982"/>
    <w:rsid w:val="00E57ACD"/>
    <w:rsid w:val="00E6415E"/>
    <w:rsid w:val="00E66652"/>
    <w:rsid w:val="00E72548"/>
    <w:rsid w:val="00E76238"/>
    <w:rsid w:val="00E76C83"/>
    <w:rsid w:val="00E80027"/>
    <w:rsid w:val="00E80AF4"/>
    <w:rsid w:val="00E8127C"/>
    <w:rsid w:val="00E85C78"/>
    <w:rsid w:val="00E90928"/>
    <w:rsid w:val="00E916D8"/>
    <w:rsid w:val="00E92905"/>
    <w:rsid w:val="00E92F59"/>
    <w:rsid w:val="00E9354F"/>
    <w:rsid w:val="00E93596"/>
    <w:rsid w:val="00E94AD2"/>
    <w:rsid w:val="00E97476"/>
    <w:rsid w:val="00E974E9"/>
    <w:rsid w:val="00EA0109"/>
    <w:rsid w:val="00EA0367"/>
    <w:rsid w:val="00EA0C83"/>
    <w:rsid w:val="00EA1C36"/>
    <w:rsid w:val="00EA2117"/>
    <w:rsid w:val="00EA24B9"/>
    <w:rsid w:val="00EA2C6C"/>
    <w:rsid w:val="00EA3F5C"/>
    <w:rsid w:val="00EA6DF9"/>
    <w:rsid w:val="00EA7261"/>
    <w:rsid w:val="00EA7D7B"/>
    <w:rsid w:val="00EB26F2"/>
    <w:rsid w:val="00EB3795"/>
    <w:rsid w:val="00EB40F3"/>
    <w:rsid w:val="00EB4C04"/>
    <w:rsid w:val="00EB584E"/>
    <w:rsid w:val="00EC0B39"/>
    <w:rsid w:val="00EC1E29"/>
    <w:rsid w:val="00EC1F47"/>
    <w:rsid w:val="00EC518C"/>
    <w:rsid w:val="00EC6F5B"/>
    <w:rsid w:val="00ED0ACD"/>
    <w:rsid w:val="00ED1674"/>
    <w:rsid w:val="00ED1E98"/>
    <w:rsid w:val="00ED1FA9"/>
    <w:rsid w:val="00ED3CA7"/>
    <w:rsid w:val="00ED4AD5"/>
    <w:rsid w:val="00EE12BF"/>
    <w:rsid w:val="00EE45E8"/>
    <w:rsid w:val="00EE6605"/>
    <w:rsid w:val="00EF1860"/>
    <w:rsid w:val="00EF4F4A"/>
    <w:rsid w:val="00EF701F"/>
    <w:rsid w:val="00EF786E"/>
    <w:rsid w:val="00EF7BEC"/>
    <w:rsid w:val="00EF7F69"/>
    <w:rsid w:val="00F03553"/>
    <w:rsid w:val="00F037AC"/>
    <w:rsid w:val="00F0405F"/>
    <w:rsid w:val="00F07040"/>
    <w:rsid w:val="00F076DF"/>
    <w:rsid w:val="00F104F9"/>
    <w:rsid w:val="00F1109C"/>
    <w:rsid w:val="00F17BD3"/>
    <w:rsid w:val="00F23022"/>
    <w:rsid w:val="00F2327F"/>
    <w:rsid w:val="00F233D4"/>
    <w:rsid w:val="00F2376A"/>
    <w:rsid w:val="00F23921"/>
    <w:rsid w:val="00F30742"/>
    <w:rsid w:val="00F32B5B"/>
    <w:rsid w:val="00F32D3A"/>
    <w:rsid w:val="00F36616"/>
    <w:rsid w:val="00F40C9B"/>
    <w:rsid w:val="00F42959"/>
    <w:rsid w:val="00F44024"/>
    <w:rsid w:val="00F45550"/>
    <w:rsid w:val="00F47133"/>
    <w:rsid w:val="00F5100D"/>
    <w:rsid w:val="00F511B3"/>
    <w:rsid w:val="00F51553"/>
    <w:rsid w:val="00F51958"/>
    <w:rsid w:val="00F56B76"/>
    <w:rsid w:val="00F602B8"/>
    <w:rsid w:val="00F639DF"/>
    <w:rsid w:val="00F64932"/>
    <w:rsid w:val="00F64C19"/>
    <w:rsid w:val="00F65568"/>
    <w:rsid w:val="00F6559E"/>
    <w:rsid w:val="00F65CEF"/>
    <w:rsid w:val="00F70D83"/>
    <w:rsid w:val="00F73B15"/>
    <w:rsid w:val="00F75992"/>
    <w:rsid w:val="00F809C9"/>
    <w:rsid w:val="00F81980"/>
    <w:rsid w:val="00F82568"/>
    <w:rsid w:val="00F846FB"/>
    <w:rsid w:val="00F92047"/>
    <w:rsid w:val="00F937C4"/>
    <w:rsid w:val="00F943BC"/>
    <w:rsid w:val="00F95049"/>
    <w:rsid w:val="00F95165"/>
    <w:rsid w:val="00F966A1"/>
    <w:rsid w:val="00F96F80"/>
    <w:rsid w:val="00FA271E"/>
    <w:rsid w:val="00FA4DD6"/>
    <w:rsid w:val="00FA4E8A"/>
    <w:rsid w:val="00FA5BCF"/>
    <w:rsid w:val="00FA62D2"/>
    <w:rsid w:val="00FA6410"/>
    <w:rsid w:val="00FA64A3"/>
    <w:rsid w:val="00FA6B06"/>
    <w:rsid w:val="00FA6E8D"/>
    <w:rsid w:val="00FB230A"/>
    <w:rsid w:val="00FB4F21"/>
    <w:rsid w:val="00FC0E74"/>
    <w:rsid w:val="00FC0FAE"/>
    <w:rsid w:val="00FC3232"/>
    <w:rsid w:val="00FC68C2"/>
    <w:rsid w:val="00FC7253"/>
    <w:rsid w:val="00FC7A6D"/>
    <w:rsid w:val="00FD4118"/>
    <w:rsid w:val="00FD4457"/>
    <w:rsid w:val="00FD61A9"/>
    <w:rsid w:val="00FD640F"/>
    <w:rsid w:val="00FD7889"/>
    <w:rsid w:val="00FE0EDE"/>
    <w:rsid w:val="00FE4DEA"/>
    <w:rsid w:val="00FF0EBF"/>
    <w:rsid w:val="00FF29B2"/>
    <w:rsid w:val="00FF54EA"/>
    <w:rsid w:val="00FF6077"/>
    <w:rsid w:val="00FF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1656C-4151-4F59-A648-F5338667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560"/>
    <w:rPr>
      <w:rFonts w:ascii="Times New Roman" w:eastAsia="Times New Roman" w:hAnsi="Times New Roman"/>
      <w:sz w:val="24"/>
      <w:szCs w:val="24"/>
    </w:rPr>
  </w:style>
  <w:style w:type="paragraph" w:styleId="Heading1">
    <w:name w:val="heading 1"/>
    <w:basedOn w:val="Normal"/>
    <w:next w:val="Normal"/>
    <w:link w:val="Heading1Char"/>
    <w:uiPriority w:val="9"/>
    <w:qFormat/>
    <w:rsid w:val="005B12F0"/>
    <w:pPr>
      <w:outlineLvl w:val="0"/>
    </w:pPr>
    <w:rPr>
      <w:b/>
      <w:sz w:val="28"/>
      <w:szCs w:val="28"/>
    </w:rPr>
  </w:style>
  <w:style w:type="paragraph" w:styleId="Heading2">
    <w:name w:val="heading 2"/>
    <w:basedOn w:val="Normal"/>
    <w:next w:val="Normal"/>
    <w:link w:val="Heading2Char"/>
    <w:uiPriority w:val="9"/>
    <w:unhideWhenUsed/>
    <w:qFormat/>
    <w:rsid w:val="005B12F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44560"/>
    <w:rPr>
      <w:vertAlign w:val="superscript"/>
    </w:rPr>
  </w:style>
  <w:style w:type="paragraph" w:styleId="Header">
    <w:name w:val="header"/>
    <w:basedOn w:val="Normal"/>
    <w:link w:val="HeaderChar"/>
    <w:uiPriority w:val="99"/>
    <w:rsid w:val="00044560"/>
    <w:pPr>
      <w:tabs>
        <w:tab w:val="center" w:pos="4320"/>
        <w:tab w:val="right" w:pos="8640"/>
      </w:tabs>
    </w:pPr>
  </w:style>
  <w:style w:type="character" w:customStyle="1" w:styleId="HeaderChar">
    <w:name w:val="Header Char"/>
    <w:basedOn w:val="DefaultParagraphFont"/>
    <w:link w:val="Header"/>
    <w:uiPriority w:val="99"/>
    <w:rsid w:val="00044560"/>
    <w:rPr>
      <w:rFonts w:ascii="Times New Roman" w:eastAsia="Times New Roman" w:hAnsi="Times New Roman" w:cs="Times New Roman"/>
      <w:sz w:val="24"/>
      <w:szCs w:val="24"/>
    </w:rPr>
  </w:style>
  <w:style w:type="character" w:styleId="PageNumber">
    <w:name w:val="page number"/>
    <w:basedOn w:val="DefaultParagraphFont"/>
    <w:rsid w:val="00044560"/>
  </w:style>
  <w:style w:type="paragraph" w:styleId="Footer">
    <w:name w:val="footer"/>
    <w:basedOn w:val="Normal"/>
    <w:link w:val="FooterChar"/>
    <w:uiPriority w:val="99"/>
    <w:unhideWhenUsed/>
    <w:rsid w:val="0081039D"/>
    <w:pPr>
      <w:tabs>
        <w:tab w:val="center" w:pos="4680"/>
        <w:tab w:val="right" w:pos="9360"/>
      </w:tabs>
    </w:pPr>
  </w:style>
  <w:style w:type="character" w:customStyle="1" w:styleId="FooterChar">
    <w:name w:val="Footer Char"/>
    <w:basedOn w:val="DefaultParagraphFont"/>
    <w:link w:val="Footer"/>
    <w:uiPriority w:val="99"/>
    <w:rsid w:val="0081039D"/>
    <w:rPr>
      <w:rFonts w:ascii="Times New Roman" w:eastAsia="Times New Roman" w:hAnsi="Times New Roman"/>
      <w:sz w:val="24"/>
      <w:szCs w:val="24"/>
    </w:rPr>
  </w:style>
  <w:style w:type="paragraph" w:styleId="ListParagraph">
    <w:name w:val="List Paragraph"/>
    <w:basedOn w:val="Normal"/>
    <w:uiPriority w:val="34"/>
    <w:qFormat/>
    <w:rsid w:val="004E1F2C"/>
    <w:pPr>
      <w:ind w:left="720"/>
      <w:contextualSpacing/>
    </w:pPr>
  </w:style>
  <w:style w:type="table" w:styleId="TableGrid">
    <w:name w:val="Table Grid"/>
    <w:basedOn w:val="TableNormal"/>
    <w:uiPriority w:val="59"/>
    <w:rsid w:val="00FC72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5B12F0"/>
    <w:rPr>
      <w:rFonts w:ascii="Times New Roman" w:eastAsia="Times New Roman" w:hAnsi="Times New Roman"/>
      <w:b/>
      <w:sz w:val="28"/>
      <w:szCs w:val="28"/>
    </w:rPr>
  </w:style>
  <w:style w:type="paragraph" w:styleId="Bibliography">
    <w:name w:val="Bibliography"/>
    <w:basedOn w:val="Normal"/>
    <w:next w:val="Normal"/>
    <w:uiPriority w:val="37"/>
    <w:unhideWhenUsed/>
    <w:rsid w:val="00DE2CEC"/>
  </w:style>
  <w:style w:type="character" w:styleId="Hyperlink">
    <w:name w:val="Hyperlink"/>
    <w:basedOn w:val="DefaultParagraphFont"/>
    <w:uiPriority w:val="99"/>
    <w:unhideWhenUsed/>
    <w:rsid w:val="00BF66B6"/>
    <w:rPr>
      <w:color w:val="0000FF"/>
      <w:u w:val="single"/>
    </w:rPr>
  </w:style>
  <w:style w:type="character" w:customStyle="1" w:styleId="Heading2Char">
    <w:name w:val="Heading 2 Char"/>
    <w:basedOn w:val="DefaultParagraphFont"/>
    <w:link w:val="Heading2"/>
    <w:uiPriority w:val="9"/>
    <w:rsid w:val="005B12F0"/>
    <w:rPr>
      <w:rFonts w:ascii="Times New Roman" w:eastAsia="Times New Roman" w:hAnsi="Times New Roman"/>
      <w:b/>
      <w:sz w:val="24"/>
      <w:szCs w:val="24"/>
    </w:rPr>
  </w:style>
  <w:style w:type="paragraph" w:styleId="Title">
    <w:name w:val="Title"/>
    <w:basedOn w:val="Normal"/>
    <w:next w:val="Normal"/>
    <w:link w:val="TitleChar"/>
    <w:uiPriority w:val="10"/>
    <w:qFormat/>
    <w:rsid w:val="005B12F0"/>
    <w:pPr>
      <w:jc w:val="center"/>
    </w:pPr>
    <w:rPr>
      <w:b/>
      <w:sz w:val="28"/>
      <w:szCs w:val="28"/>
    </w:rPr>
  </w:style>
  <w:style w:type="character" w:customStyle="1" w:styleId="TitleChar">
    <w:name w:val="Title Char"/>
    <w:basedOn w:val="DefaultParagraphFont"/>
    <w:link w:val="Title"/>
    <w:uiPriority w:val="10"/>
    <w:rsid w:val="005B12F0"/>
    <w:rPr>
      <w:rFonts w:ascii="Times New Roman" w:eastAsia="Times New Roman" w:hAnsi="Times New Roman"/>
      <w:b/>
      <w:sz w:val="28"/>
      <w:szCs w:val="28"/>
    </w:rPr>
  </w:style>
  <w:style w:type="paragraph" w:styleId="Subtitle">
    <w:name w:val="Subtitle"/>
    <w:basedOn w:val="Title"/>
    <w:next w:val="Normal"/>
    <w:link w:val="SubtitleChar"/>
    <w:uiPriority w:val="11"/>
    <w:qFormat/>
    <w:rsid w:val="005B12F0"/>
    <w:rPr>
      <w:sz w:val="24"/>
      <w:szCs w:val="24"/>
    </w:rPr>
  </w:style>
  <w:style w:type="character" w:customStyle="1" w:styleId="SubtitleChar">
    <w:name w:val="Subtitle Char"/>
    <w:basedOn w:val="DefaultParagraphFont"/>
    <w:link w:val="Subtitle"/>
    <w:uiPriority w:val="11"/>
    <w:rsid w:val="005B12F0"/>
    <w:rPr>
      <w:rFonts w:ascii="Times New Roman" w:eastAsia="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538338">
      <w:bodyDiv w:val="1"/>
      <w:marLeft w:val="0"/>
      <w:marRight w:val="0"/>
      <w:marTop w:val="0"/>
      <w:marBottom w:val="0"/>
      <w:divBdr>
        <w:top w:val="none" w:sz="0" w:space="0" w:color="auto"/>
        <w:left w:val="none" w:sz="0" w:space="0" w:color="auto"/>
        <w:bottom w:val="none" w:sz="0" w:space="0" w:color="auto"/>
        <w:right w:val="none" w:sz="0" w:space="0" w:color="auto"/>
      </w:divBdr>
      <w:divsChild>
        <w:div w:id="441464320">
          <w:marLeft w:val="432"/>
          <w:marRight w:val="0"/>
          <w:marTop w:val="125"/>
          <w:marBottom w:val="0"/>
          <w:divBdr>
            <w:top w:val="none" w:sz="0" w:space="0" w:color="auto"/>
            <w:left w:val="none" w:sz="0" w:space="0" w:color="auto"/>
            <w:bottom w:val="none" w:sz="0" w:space="0" w:color="auto"/>
            <w:right w:val="none" w:sz="0" w:space="0" w:color="auto"/>
          </w:divBdr>
        </w:div>
        <w:div w:id="686367475">
          <w:marLeft w:val="432"/>
          <w:marRight w:val="0"/>
          <w:marTop w:val="125"/>
          <w:marBottom w:val="0"/>
          <w:divBdr>
            <w:top w:val="none" w:sz="0" w:space="0" w:color="auto"/>
            <w:left w:val="none" w:sz="0" w:space="0" w:color="auto"/>
            <w:bottom w:val="none" w:sz="0" w:space="0" w:color="auto"/>
            <w:right w:val="none" w:sz="0" w:space="0" w:color="auto"/>
          </w:divBdr>
        </w:div>
        <w:div w:id="1549488997">
          <w:marLeft w:val="432"/>
          <w:marRight w:val="0"/>
          <w:marTop w:val="125"/>
          <w:marBottom w:val="0"/>
          <w:divBdr>
            <w:top w:val="none" w:sz="0" w:space="0" w:color="auto"/>
            <w:left w:val="none" w:sz="0" w:space="0" w:color="auto"/>
            <w:bottom w:val="none" w:sz="0" w:space="0" w:color="auto"/>
            <w:right w:val="none" w:sz="0" w:space="0" w:color="auto"/>
          </w:divBdr>
        </w:div>
        <w:div w:id="1552225772">
          <w:marLeft w:val="432"/>
          <w:marRight w:val="0"/>
          <w:marTop w:val="125"/>
          <w:marBottom w:val="0"/>
          <w:divBdr>
            <w:top w:val="none" w:sz="0" w:space="0" w:color="auto"/>
            <w:left w:val="none" w:sz="0" w:space="0" w:color="auto"/>
            <w:bottom w:val="none" w:sz="0" w:space="0" w:color="auto"/>
            <w:right w:val="none" w:sz="0" w:space="0" w:color="auto"/>
          </w:divBdr>
        </w:div>
        <w:div w:id="177971345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cfd.psu.edu/programs/cour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learning.psu.edu/FacultySelfAssess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ccessibility.psu.edu/cours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3871</Words>
  <Characters>22067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25887</CharactersWithSpaces>
  <SharedDoc>false</SharedDoc>
  <HLinks>
    <vt:vector size="18" baseType="variant">
      <vt:variant>
        <vt:i4>7012405</vt:i4>
      </vt:variant>
      <vt:variant>
        <vt:i4>6</vt:i4>
      </vt:variant>
      <vt:variant>
        <vt:i4>0</vt:i4>
      </vt:variant>
      <vt:variant>
        <vt:i4>5</vt:i4>
      </vt:variant>
      <vt:variant>
        <vt:lpwstr>http://psuwcfacdev.ning.com/group/ol2000effectiveteachingonline</vt:lpwstr>
      </vt:variant>
      <vt:variant>
        <vt:lpwstr/>
      </vt:variant>
      <vt:variant>
        <vt:i4>2621549</vt:i4>
      </vt:variant>
      <vt:variant>
        <vt:i4>3</vt:i4>
      </vt:variant>
      <vt:variant>
        <vt:i4>0</vt:i4>
      </vt:variant>
      <vt:variant>
        <vt:i4>5</vt:i4>
      </vt:variant>
      <vt:variant>
        <vt:lpwstr>http://weblearning.psu.edu/news/faculty-self-assessment</vt:lpwstr>
      </vt:variant>
      <vt:variant>
        <vt:lpwstr/>
      </vt:variant>
      <vt:variant>
        <vt:i4>6422625</vt:i4>
      </vt:variant>
      <vt:variant>
        <vt:i4>0</vt:i4>
      </vt:variant>
      <vt:variant>
        <vt:i4>0</vt:i4>
      </vt:variant>
      <vt:variant>
        <vt:i4>5</vt:i4>
      </vt:variant>
      <vt:variant>
        <vt:lpwstr>http://weblearning.psu.edu/blended-learning-initiative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State Berks</dc:creator>
  <cp:keywords/>
  <cp:lastModifiedBy>AMY E ROCHE</cp:lastModifiedBy>
  <cp:revision>3</cp:revision>
  <cp:lastPrinted>2011-01-10T14:04:00Z</cp:lastPrinted>
  <dcterms:created xsi:type="dcterms:W3CDTF">2016-03-10T16:01:00Z</dcterms:created>
  <dcterms:modified xsi:type="dcterms:W3CDTF">2016-03-10T16:20:00Z</dcterms:modified>
</cp:coreProperties>
</file>