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6A" w:rsidRPr="002B0330" w:rsidRDefault="009D7C6A" w:rsidP="009D7C6A">
      <w:pPr>
        <w:rPr>
          <w:b/>
          <w:sz w:val="22"/>
          <w:szCs w:val="22"/>
        </w:rPr>
      </w:pPr>
      <w:r w:rsidRPr="002B0330">
        <w:rPr>
          <w:b/>
          <w:sz w:val="22"/>
          <w:szCs w:val="22"/>
        </w:rPr>
        <w:t>TLI Grant Report—English 202 C — Technical Writing (2015)</w:t>
      </w:r>
    </w:p>
    <w:p w:rsidR="009D7C6A" w:rsidRPr="002B0330" w:rsidRDefault="009D7C6A" w:rsidP="009D7C6A">
      <w:pPr>
        <w:rPr>
          <w:b/>
          <w:sz w:val="22"/>
          <w:szCs w:val="22"/>
        </w:rPr>
      </w:pPr>
      <w:r w:rsidRPr="002B0330">
        <w:rPr>
          <w:b/>
          <w:sz w:val="22"/>
          <w:szCs w:val="22"/>
        </w:rPr>
        <w:t xml:space="preserve"> Submitted by Terry Baker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b/>
          <w:sz w:val="22"/>
          <w:szCs w:val="22"/>
        </w:rPr>
        <w:t>Introduction</w:t>
      </w: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Throughout my forty years of teaching, I have always embraced new pedagogical theories and technologies as a way to stay current and to challenge myself to create meaningful classes that students enjoy</w:t>
      </w:r>
      <w:r>
        <w:rPr>
          <w:sz w:val="22"/>
          <w:szCs w:val="22"/>
        </w:rPr>
        <w:t xml:space="preserve"> and find valuable</w:t>
      </w:r>
      <w:r w:rsidRPr="002B0330">
        <w:rPr>
          <w:sz w:val="22"/>
          <w:szCs w:val="22"/>
        </w:rPr>
        <w:t xml:space="preserve">. 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Given the opportunity and incentive (the TLI grant), I undertook the challenge of transforming my technical writing face-to-face class into a fully online course. As my students have always given my class and me very positive evaluations, I wanted to find out whether such results could be achieved in an online only class—without the strength of my in-class persona.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b/>
          <w:sz w:val="22"/>
          <w:szCs w:val="22"/>
        </w:rPr>
      </w:pPr>
      <w:r w:rsidRPr="002B0330">
        <w:rPr>
          <w:b/>
          <w:sz w:val="22"/>
          <w:szCs w:val="22"/>
        </w:rPr>
        <w:t>Project Design</w:t>
      </w:r>
    </w:p>
    <w:p w:rsidR="009D7C6A" w:rsidRPr="002B0330" w:rsidRDefault="009D7C6A" w:rsidP="009D7C6A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 w:rsidRPr="002B0330">
        <w:rPr>
          <w:sz w:val="22"/>
          <w:szCs w:val="22"/>
        </w:rPr>
        <w:t>Early in March, I met with the Center for Teaching and Learning staff (</w:t>
      </w:r>
      <w:r w:rsidRPr="002B0330">
        <w:rPr>
          <w:bCs/>
          <w:color w:val="000000"/>
          <w:sz w:val="22"/>
          <w:szCs w:val="22"/>
          <w:shd w:val="clear" w:color="auto" w:fill="FFFFFF"/>
        </w:rPr>
        <w:t>Daonian</w:t>
      </w:r>
      <w:r>
        <w:rPr>
          <w:bCs/>
          <w:color w:val="000000"/>
          <w:sz w:val="22"/>
          <w:szCs w:val="22"/>
          <w:shd w:val="clear" w:color="auto" w:fill="FFFFFF"/>
        </w:rPr>
        <w:t xml:space="preserve"> Liu</w:t>
      </w:r>
      <w:r w:rsidRPr="002B0330">
        <w:rPr>
          <w:bCs/>
          <w:color w:val="000000"/>
          <w:sz w:val="22"/>
          <w:szCs w:val="22"/>
          <w:shd w:val="clear" w:color="auto" w:fill="FFFFFF"/>
        </w:rPr>
        <w:t>, Amy Roche, and Mary Ann Mengel) to discuss my grant, the timeline for completing this grant, and a basic framework to follow</w:t>
      </w:r>
      <w:r w:rsidRPr="002B0330">
        <w:rPr>
          <w:b/>
          <w:bCs/>
          <w:color w:val="000000"/>
          <w:sz w:val="22"/>
          <w:szCs w:val="22"/>
          <w:shd w:val="clear" w:color="auto" w:fill="FFFFFF"/>
        </w:rPr>
        <w:t>.</w:t>
      </w:r>
    </w:p>
    <w:p w:rsidR="009D7C6A" w:rsidRPr="002B0330" w:rsidRDefault="009D7C6A" w:rsidP="009D7C6A">
      <w:pP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9D7C6A" w:rsidRPr="002B0330" w:rsidRDefault="009D7C6A" w:rsidP="009D7C6A">
      <w:pPr>
        <w:rPr>
          <w:bCs/>
          <w:color w:val="000000"/>
          <w:sz w:val="22"/>
          <w:szCs w:val="22"/>
          <w:shd w:val="clear" w:color="auto" w:fill="FFFFFF"/>
        </w:rPr>
      </w:pPr>
      <w:r w:rsidRPr="002B0330">
        <w:rPr>
          <w:bCs/>
          <w:color w:val="000000"/>
          <w:sz w:val="22"/>
          <w:szCs w:val="22"/>
          <w:shd w:val="clear" w:color="auto" w:fill="FFFFFF"/>
        </w:rPr>
        <w:t>Following that meeting, I met with Amy, my project manager, and we identified these immediate goals:</w:t>
      </w:r>
    </w:p>
    <w:p w:rsidR="009D7C6A" w:rsidRPr="002B0330" w:rsidRDefault="009D7C6A" w:rsidP="009D7C6A">
      <w:pPr>
        <w:numPr>
          <w:ilvl w:val="0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Finding and adopting a suitable textbook (I hadn’t been using one for the last few years, relying instead on resources I created, collected, and distributed to students</w:t>
      </w:r>
      <w:r>
        <w:rPr>
          <w:sz w:val="22"/>
          <w:szCs w:val="22"/>
        </w:rPr>
        <w:t>)</w:t>
      </w:r>
      <w:r w:rsidRPr="002B0330">
        <w:rPr>
          <w:sz w:val="22"/>
          <w:szCs w:val="22"/>
        </w:rPr>
        <w:t xml:space="preserve">. After reviewing several, I chose </w:t>
      </w:r>
      <w:r w:rsidRPr="002B0330">
        <w:rPr>
          <w:i/>
          <w:sz w:val="22"/>
          <w:szCs w:val="22"/>
        </w:rPr>
        <w:t>Technical Communication Fundamentals</w:t>
      </w:r>
      <w:r w:rsidRPr="002B0330">
        <w:rPr>
          <w:sz w:val="22"/>
          <w:szCs w:val="22"/>
        </w:rPr>
        <w:t>, by William Pfeiffer and Kaye Adkin</w:t>
      </w:r>
      <w:r>
        <w:rPr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z w:val="22"/>
          <w:szCs w:val="22"/>
        </w:rPr>
        <w:t xml:space="preserve"> t</w:t>
      </w:r>
      <w:r w:rsidRPr="002B0330">
        <w:rPr>
          <w:sz w:val="22"/>
          <w:szCs w:val="22"/>
        </w:rPr>
        <w:t>o supplement my own resources.</w:t>
      </w:r>
    </w:p>
    <w:p w:rsidR="009D7C6A" w:rsidRPr="002B0330" w:rsidRDefault="009D7C6A" w:rsidP="009D7C6A">
      <w:pPr>
        <w:numPr>
          <w:ilvl w:val="0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Choosing a template for ANGEL. I chose a straightforward example, built around the heading “What to Do and When to Do it.”</w:t>
      </w:r>
    </w:p>
    <w:p w:rsidR="009D7C6A" w:rsidRPr="002B0330" w:rsidRDefault="009D7C6A" w:rsidP="009D7C6A">
      <w:pPr>
        <w:numPr>
          <w:ilvl w:val="0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 xml:space="preserve">Reviewing similar courses created by other Penn State instructors. </w:t>
      </w:r>
    </w:p>
    <w:p w:rsidR="009D7C6A" w:rsidRPr="002B0330" w:rsidRDefault="009D7C6A" w:rsidP="009D7C6A">
      <w:pPr>
        <w:numPr>
          <w:ilvl w:val="0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Identifying and enumerating my instructional goals and adapting them for online delivery.</w:t>
      </w:r>
    </w:p>
    <w:p w:rsidR="009D7C6A" w:rsidRPr="002B0330" w:rsidRDefault="009D7C6A" w:rsidP="009D7C6A">
      <w:pPr>
        <w:numPr>
          <w:ilvl w:val="0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 xml:space="preserve">Enrolling and completing the May session of OL 2000: </w:t>
      </w:r>
      <w:r w:rsidRPr="002B0330">
        <w:rPr>
          <w:color w:val="000000"/>
          <w:sz w:val="22"/>
          <w:szCs w:val="22"/>
          <w:shd w:val="clear" w:color="auto" w:fill="FFFFFF"/>
        </w:rPr>
        <w:t>Effective Online Teaching.</w:t>
      </w:r>
    </w:p>
    <w:p w:rsidR="009D7C6A" w:rsidRPr="002B0330" w:rsidRDefault="009D7C6A" w:rsidP="009D7C6A">
      <w:pPr>
        <w:numPr>
          <w:ilvl w:val="0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Learning and experimenting with software and hardware needed to achieve those goals. These included the following:</w:t>
      </w:r>
    </w:p>
    <w:p w:rsidR="009D7C6A" w:rsidRPr="002B0330" w:rsidRDefault="009D7C6A" w:rsidP="009D7C6A">
      <w:pPr>
        <w:numPr>
          <w:ilvl w:val="1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ANGEL—which I’ve used before, but without using all the tools available which could improve a fully online class.</w:t>
      </w:r>
    </w:p>
    <w:p w:rsidR="009D7C6A" w:rsidRPr="002B0330" w:rsidRDefault="009D7C6A" w:rsidP="009D7C6A">
      <w:pPr>
        <w:numPr>
          <w:ilvl w:val="1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Screencast-o-matic—to create videos to introduce each unit and instructions for showing how to perform certain tasks, such as forwarding ANGEL email and grouping items in MS Word.</w:t>
      </w:r>
    </w:p>
    <w:p w:rsidR="009D7C6A" w:rsidRPr="002B0330" w:rsidRDefault="009D7C6A" w:rsidP="009D7C6A">
      <w:pPr>
        <w:numPr>
          <w:ilvl w:val="1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YouTube—for uploading videos and creating captions to make them fully accessible by everyone.</w:t>
      </w:r>
    </w:p>
    <w:p w:rsidR="009D7C6A" w:rsidRPr="002B0330" w:rsidRDefault="009D7C6A" w:rsidP="009D7C6A">
      <w:pPr>
        <w:numPr>
          <w:ilvl w:val="1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Turnitin—Peer Mark for students to peer review each other’s documents and Grade Mark for submitting documents online for grading.</w:t>
      </w:r>
    </w:p>
    <w:p w:rsidR="009D7C6A" w:rsidRPr="002B0330" w:rsidRDefault="009D7C6A" w:rsidP="009D7C6A">
      <w:pPr>
        <w:numPr>
          <w:ilvl w:val="1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SWIVL—to capture lectures on video. I received a grant for this as well, but after meeting with Mary Ann Mengel, I chose not to use this hardware/software.</w:t>
      </w:r>
    </w:p>
    <w:p w:rsidR="009D7C6A" w:rsidRPr="002B0330" w:rsidRDefault="009D7C6A" w:rsidP="009D7C6A">
      <w:pPr>
        <w:numPr>
          <w:ilvl w:val="1"/>
          <w:numId w:val="1"/>
        </w:numPr>
        <w:rPr>
          <w:sz w:val="22"/>
          <w:szCs w:val="22"/>
        </w:rPr>
      </w:pPr>
      <w:r w:rsidRPr="002B0330">
        <w:rPr>
          <w:sz w:val="22"/>
          <w:szCs w:val="22"/>
        </w:rPr>
        <w:t>Voice Thread, which I chose not to use, as it did not provide any specific tools that I couldn’t achieve otherwise.</w:t>
      </w:r>
    </w:p>
    <w:p w:rsidR="009D7C6A" w:rsidRPr="002B0330" w:rsidRDefault="009D7C6A" w:rsidP="009D7C6A">
      <w:pPr>
        <w:ind w:left="1134"/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Throughout the summer, I created the course content, and with the help of Amy and her intern Eri</w:t>
      </w:r>
      <w:r>
        <w:rPr>
          <w:sz w:val="22"/>
          <w:szCs w:val="22"/>
        </w:rPr>
        <w:t>k</w:t>
      </w:r>
      <w:r w:rsidRPr="002B0330">
        <w:rPr>
          <w:sz w:val="22"/>
          <w:szCs w:val="22"/>
        </w:rPr>
        <w:t xml:space="preserve"> Lewis, made it all accessible. We set up the ANGEL Gradebook and tied all assignments to it. By the end of the summer, the course was fully developed and launched for 3 sections with a total of 72 students.</w:t>
      </w: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 xml:space="preserve">  </w:t>
      </w:r>
    </w:p>
    <w:p w:rsidR="009D7C6A" w:rsidRDefault="009D7C6A" w:rsidP="009D7C6A">
      <w:pPr>
        <w:rPr>
          <w:b/>
          <w:sz w:val="22"/>
          <w:szCs w:val="22"/>
        </w:rPr>
      </w:pPr>
    </w:p>
    <w:p w:rsidR="009D7C6A" w:rsidRDefault="009D7C6A" w:rsidP="009D7C6A">
      <w:pPr>
        <w:rPr>
          <w:b/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b/>
          <w:sz w:val="22"/>
          <w:szCs w:val="22"/>
        </w:rPr>
        <w:lastRenderedPageBreak/>
        <w:t>Learning</w:t>
      </w:r>
      <w:r w:rsidRPr="002B0330">
        <w:rPr>
          <w:sz w:val="22"/>
          <w:szCs w:val="22"/>
        </w:rPr>
        <w:t xml:space="preserve"> </w:t>
      </w:r>
      <w:r w:rsidRPr="002B0330">
        <w:rPr>
          <w:b/>
          <w:sz w:val="22"/>
          <w:szCs w:val="22"/>
        </w:rPr>
        <w:t>Outcomes</w:t>
      </w: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 xml:space="preserve">I was very pleased by the outcomes achieved at the end of the semester.  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For my part, I can make these observations, based on my experience and on comments students provided in person:</w:t>
      </w:r>
    </w:p>
    <w:p w:rsidR="009D7C6A" w:rsidRPr="002B0330" w:rsidRDefault="009D7C6A" w:rsidP="009D7C6A">
      <w:pPr>
        <w:numPr>
          <w:ilvl w:val="0"/>
          <w:numId w:val="2"/>
        </w:numPr>
        <w:rPr>
          <w:sz w:val="22"/>
          <w:szCs w:val="22"/>
        </w:rPr>
      </w:pPr>
      <w:r w:rsidRPr="002B0330">
        <w:rPr>
          <w:sz w:val="22"/>
          <w:szCs w:val="22"/>
        </w:rPr>
        <w:t>My grade distribution remained relatively the same as in previous face-to-face classes. I expected to see a slight decline, but that didn’t happen.</w:t>
      </w:r>
    </w:p>
    <w:p w:rsidR="009D7C6A" w:rsidRPr="002B0330" w:rsidRDefault="009D7C6A" w:rsidP="009D7C6A">
      <w:pPr>
        <w:numPr>
          <w:ilvl w:val="0"/>
          <w:numId w:val="2"/>
        </w:numPr>
        <w:rPr>
          <w:sz w:val="22"/>
          <w:szCs w:val="22"/>
        </w:rPr>
      </w:pPr>
      <w:r w:rsidRPr="002B0330">
        <w:rPr>
          <w:sz w:val="22"/>
          <w:szCs w:val="22"/>
        </w:rPr>
        <w:t>I had more students attend office hours than when I had face-to-face classes</w:t>
      </w:r>
      <w:r>
        <w:rPr>
          <w:sz w:val="22"/>
          <w:szCs w:val="22"/>
        </w:rPr>
        <w:t>.</w:t>
      </w:r>
      <w:r w:rsidRPr="002B0330">
        <w:rPr>
          <w:sz w:val="22"/>
          <w:szCs w:val="22"/>
        </w:rPr>
        <w:t xml:space="preserve"> I attribute this to several things: I encouraged them to visit before deadlines for a personal review of their rough drafts; I offered advice and clarification on choosing topics and working collaboratively; and I enticed them with offers of free coffee and chocolate. It paid off.</w:t>
      </w:r>
    </w:p>
    <w:p w:rsidR="009D7C6A" w:rsidRDefault="009D7C6A" w:rsidP="009D7C6A">
      <w:pPr>
        <w:numPr>
          <w:ilvl w:val="0"/>
          <w:numId w:val="2"/>
        </w:numPr>
        <w:rPr>
          <w:sz w:val="22"/>
          <w:szCs w:val="22"/>
        </w:rPr>
      </w:pPr>
      <w:r w:rsidRPr="002B0330">
        <w:rPr>
          <w:sz w:val="22"/>
          <w:szCs w:val="22"/>
        </w:rPr>
        <w:t>A number of students told me the class felt remarkably like a face-to-face class, thanks to the many videos I made, the frequent email contact, and my accessibility—both in my office and online.</w:t>
      </w:r>
    </w:p>
    <w:p w:rsidR="009D7C6A" w:rsidRPr="002B0330" w:rsidRDefault="009D7C6A" w:rsidP="009D7C6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My SRTE scores were very comparable to scores in my face-to-face technical writing classes in spring 2016.</w:t>
      </w:r>
      <w:r w:rsidRPr="002B03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The quality of the course went down .08%. The quality of the instructor went down .14%. </w:t>
      </w:r>
      <w:r w:rsidRPr="008E5B9F">
        <w:rPr>
          <w:sz w:val="22"/>
          <w:szCs w:val="22"/>
        </w:rPr>
        <w:t xml:space="preserve">These numbers are well within the </w:t>
      </w:r>
      <w:r>
        <w:rPr>
          <w:sz w:val="22"/>
          <w:szCs w:val="22"/>
        </w:rPr>
        <w:t xml:space="preserve">typical </w:t>
      </w:r>
      <w:r w:rsidRPr="008E5B9F">
        <w:rPr>
          <w:sz w:val="22"/>
          <w:szCs w:val="22"/>
        </w:rPr>
        <w:t>fluctuations from one semester to another.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With Amy’s help, I conducted a mid-semester anonymous survey as well as one at the end of the semester.  Some of the most important results of those surveys can be found in the tables below. (NOTE:  I’ve included only those questions which were most relevant to assessing my stated goals.</w:t>
      </w:r>
      <w:r>
        <w:rPr>
          <w:sz w:val="22"/>
          <w:szCs w:val="22"/>
        </w:rPr>
        <w:t>)</w:t>
      </w:r>
      <w:r w:rsidRPr="002B0330">
        <w:rPr>
          <w:sz w:val="22"/>
          <w:szCs w:val="22"/>
        </w:rPr>
        <w:t xml:space="preserve"> Each line represents the responses </w:t>
      </w:r>
      <w:r>
        <w:rPr>
          <w:sz w:val="22"/>
          <w:szCs w:val="22"/>
        </w:rPr>
        <w:t>I received from</w:t>
      </w:r>
      <w:r w:rsidRPr="002B0330">
        <w:rPr>
          <w:sz w:val="22"/>
          <w:szCs w:val="22"/>
        </w:rPr>
        <w:t xml:space="preserve"> each of my three sections, listed in percents.</w:t>
      </w:r>
    </w:p>
    <w:p w:rsidR="009D7C6A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>
        <w:rPr>
          <w:sz w:val="22"/>
          <w:szCs w:val="22"/>
        </w:rPr>
        <w:t>Table 1: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3"/>
        <w:gridCol w:w="990"/>
        <w:gridCol w:w="810"/>
        <w:gridCol w:w="810"/>
        <w:gridCol w:w="1080"/>
        <w:gridCol w:w="1018"/>
        <w:gridCol w:w="1269"/>
      </w:tblGrid>
      <w:tr w:rsidR="009D7C6A" w:rsidRPr="002B0330" w:rsidTr="005C46F1">
        <w:trPr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Response to…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Strongly Agree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Agree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Neutral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Disagree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Strongly Disagree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Not Applicable</w:t>
            </w:r>
          </w:p>
        </w:tc>
      </w:tr>
      <w:tr w:rsidR="009D7C6A" w:rsidRPr="002B0330" w:rsidTr="005C46F1">
        <w:trPr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ANGEL agendas (weekly schedules) are easily understood and helpful in meeting deadlines.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72.2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40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44.4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44.4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</w:tr>
      <w:tr w:rsidR="009D7C6A" w:rsidRPr="002B0330" w:rsidTr="005C46F1">
        <w:trPr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Textbook readings are valuable and useful in helping me understand technical writing conventions.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16.7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11.1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38.9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40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33.3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16.7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38.9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16.7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11.1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11.1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</w:tr>
      <w:tr w:rsidR="009D7C6A" w:rsidRPr="002B0330" w:rsidTr="005C46F1">
        <w:trPr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Instructor’s videos and screencasts are interesting and valuable.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33.3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50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16.7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</w:tr>
      <w:tr w:rsidR="009D7C6A" w:rsidRPr="002B0330" w:rsidTr="005C46F1">
        <w:trPr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Readings not from the textbook are valuable and useful in helping understand technical writing conventions.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38.9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27.8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38.9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40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55.6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16.7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16.7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</w:tr>
      <w:tr w:rsidR="009D7C6A" w:rsidRPr="002B0330" w:rsidTr="005C46F1">
        <w:trPr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The instructor responds to email in a timely manner.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72.2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65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77.8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16.7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</w:tc>
      </w:tr>
      <w:tr w:rsidR="009D7C6A" w:rsidRPr="002B0330" w:rsidTr="005C46F1">
        <w:trPr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Examples of student-written model documents are valuable and useful.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72.2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70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94.4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22.2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</w:tr>
      <w:tr w:rsidR="009D7C6A" w:rsidRPr="002B0330" w:rsidTr="005C46F1">
        <w:trPr>
          <w:trHeight w:val="899"/>
          <w:tblHeader/>
        </w:trPr>
        <w:tc>
          <w:tcPr>
            <w:tcW w:w="3373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Course materials and homework assignments are improving my technical writing skills.</w:t>
            </w:r>
          </w:p>
        </w:tc>
        <w:tc>
          <w:tcPr>
            <w:tcW w:w="99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44.4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33.3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38.9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60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44.4</w:t>
            </w:r>
          </w:p>
        </w:tc>
        <w:tc>
          <w:tcPr>
            <w:tcW w:w="810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22.2</w:t>
            </w:r>
          </w:p>
        </w:tc>
        <w:tc>
          <w:tcPr>
            <w:tcW w:w="1080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11.1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018" w:type="dxa"/>
            <w:tcMar>
              <w:left w:w="43" w:type="dxa"/>
              <w:right w:w="43" w:type="dxa"/>
            </w:tcMar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5.6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vAlign w:val="center"/>
          </w:tcPr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  <w:p w:rsidR="009D7C6A" w:rsidRPr="002B0330" w:rsidRDefault="009D7C6A" w:rsidP="005C46F1">
            <w:pPr>
              <w:jc w:val="center"/>
              <w:rPr>
                <w:sz w:val="22"/>
                <w:szCs w:val="22"/>
              </w:rPr>
            </w:pPr>
            <w:r w:rsidRPr="002B0330">
              <w:rPr>
                <w:sz w:val="22"/>
                <w:szCs w:val="22"/>
              </w:rPr>
              <w:t>0</w:t>
            </w:r>
          </w:p>
        </w:tc>
      </w:tr>
    </w:tbl>
    <w:p w:rsidR="009D7C6A" w:rsidRDefault="009D7C6A" w:rsidP="009D7C6A">
      <w:pPr>
        <w:rPr>
          <w:sz w:val="22"/>
          <w:szCs w:val="22"/>
        </w:rPr>
      </w:pPr>
    </w:p>
    <w:p w:rsidR="009D7C6A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>
        <w:rPr>
          <w:sz w:val="22"/>
          <w:szCs w:val="22"/>
        </w:rPr>
        <w:lastRenderedPageBreak/>
        <w:t>Table 2: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900"/>
        <w:gridCol w:w="900"/>
        <w:gridCol w:w="1170"/>
        <w:gridCol w:w="810"/>
        <w:gridCol w:w="810"/>
        <w:gridCol w:w="1350"/>
      </w:tblGrid>
      <w:tr w:rsidR="009D7C6A" w:rsidRPr="00027924" w:rsidTr="005C46F1">
        <w:tc>
          <w:tcPr>
            <w:tcW w:w="333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Response to…</w:t>
            </w:r>
          </w:p>
        </w:tc>
        <w:tc>
          <w:tcPr>
            <w:tcW w:w="90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 xml:space="preserve">Very Heavy </w:t>
            </w:r>
          </w:p>
        </w:tc>
        <w:tc>
          <w:tcPr>
            <w:tcW w:w="90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 xml:space="preserve">Heavy </w:t>
            </w:r>
          </w:p>
        </w:tc>
        <w:tc>
          <w:tcPr>
            <w:tcW w:w="117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 xml:space="preserve">About the Same </w:t>
            </w:r>
          </w:p>
        </w:tc>
        <w:tc>
          <w:tcPr>
            <w:tcW w:w="81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Light</w:t>
            </w:r>
          </w:p>
        </w:tc>
        <w:tc>
          <w:tcPr>
            <w:tcW w:w="81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Very Light</w:t>
            </w:r>
          </w:p>
        </w:tc>
        <w:tc>
          <w:tcPr>
            <w:tcW w:w="135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Not Applicable</w:t>
            </w:r>
          </w:p>
        </w:tc>
      </w:tr>
      <w:tr w:rsidR="009D7C6A" w:rsidRPr="00027924" w:rsidTr="005C46F1">
        <w:tc>
          <w:tcPr>
            <w:tcW w:w="3330" w:type="dxa"/>
            <w:shd w:val="clear" w:color="auto" w:fill="auto"/>
          </w:tcPr>
          <w:p w:rsidR="009D7C6A" w:rsidRPr="00027924" w:rsidRDefault="009D7C6A" w:rsidP="005C46F1">
            <w:pPr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The workload in this 3-credit course relative to other courses (face-to-face or online) is…</w:t>
            </w:r>
          </w:p>
        </w:tc>
        <w:tc>
          <w:tcPr>
            <w:tcW w:w="900" w:type="dxa"/>
            <w:shd w:val="clear" w:color="auto" w:fill="auto"/>
          </w:tcPr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0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5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5.6</w:t>
            </w:r>
          </w:p>
        </w:tc>
        <w:tc>
          <w:tcPr>
            <w:tcW w:w="900" w:type="dxa"/>
            <w:shd w:val="clear" w:color="auto" w:fill="auto"/>
          </w:tcPr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16.7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15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11.1</w:t>
            </w:r>
          </w:p>
        </w:tc>
        <w:tc>
          <w:tcPr>
            <w:tcW w:w="1170" w:type="dxa"/>
            <w:shd w:val="clear" w:color="auto" w:fill="auto"/>
          </w:tcPr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72.2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65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77.8</w:t>
            </w:r>
          </w:p>
        </w:tc>
        <w:tc>
          <w:tcPr>
            <w:tcW w:w="810" w:type="dxa"/>
            <w:shd w:val="clear" w:color="auto" w:fill="auto"/>
          </w:tcPr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5.6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5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5.6</w:t>
            </w:r>
          </w:p>
        </w:tc>
        <w:tc>
          <w:tcPr>
            <w:tcW w:w="810" w:type="dxa"/>
            <w:shd w:val="clear" w:color="auto" w:fill="auto"/>
          </w:tcPr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0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0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5.6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5</w:t>
            </w:r>
          </w:p>
          <w:p w:rsidR="009D7C6A" w:rsidRPr="00027924" w:rsidRDefault="009D7C6A" w:rsidP="005C46F1">
            <w:pPr>
              <w:jc w:val="center"/>
              <w:rPr>
                <w:sz w:val="22"/>
                <w:szCs w:val="22"/>
              </w:rPr>
            </w:pPr>
            <w:r w:rsidRPr="00027924">
              <w:rPr>
                <w:sz w:val="22"/>
                <w:szCs w:val="22"/>
              </w:rPr>
              <w:t>0</w:t>
            </w:r>
          </w:p>
        </w:tc>
      </w:tr>
    </w:tbl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b/>
          <w:sz w:val="22"/>
          <w:szCs w:val="22"/>
        </w:rPr>
      </w:pPr>
      <w:r w:rsidRPr="002B0330">
        <w:rPr>
          <w:b/>
          <w:sz w:val="22"/>
          <w:szCs w:val="22"/>
        </w:rPr>
        <w:t>Discussion</w:t>
      </w: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After completion of this semester, I plan to make the following changes</w:t>
      </w:r>
      <w:r>
        <w:rPr>
          <w:sz w:val="22"/>
          <w:szCs w:val="22"/>
        </w:rPr>
        <w:t xml:space="preserve"> for the three</w:t>
      </w:r>
      <w:r w:rsidRPr="002B0330">
        <w:rPr>
          <w:sz w:val="22"/>
          <w:szCs w:val="22"/>
        </w:rPr>
        <w:t xml:space="preserve"> </w:t>
      </w:r>
      <w:r>
        <w:rPr>
          <w:sz w:val="22"/>
          <w:szCs w:val="22"/>
        </w:rPr>
        <w:t>sections</w:t>
      </w:r>
      <w:r w:rsidRPr="002B0330">
        <w:rPr>
          <w:sz w:val="22"/>
          <w:szCs w:val="22"/>
        </w:rPr>
        <w:t xml:space="preserve"> I will have in</w:t>
      </w:r>
      <w:r>
        <w:rPr>
          <w:sz w:val="22"/>
          <w:szCs w:val="22"/>
        </w:rPr>
        <w:t xml:space="preserve"> spring</w:t>
      </w:r>
      <w:r w:rsidRPr="002B0330">
        <w:rPr>
          <w:sz w:val="22"/>
          <w:szCs w:val="22"/>
        </w:rPr>
        <w:t xml:space="preserve"> 2016:</w:t>
      </w:r>
    </w:p>
    <w:p w:rsidR="009D7C6A" w:rsidRDefault="009D7C6A" w:rsidP="009D7C6A">
      <w:pPr>
        <w:numPr>
          <w:ilvl w:val="0"/>
          <w:numId w:val="3"/>
        </w:numPr>
        <w:rPr>
          <w:sz w:val="22"/>
          <w:szCs w:val="22"/>
        </w:rPr>
      </w:pPr>
      <w:r w:rsidRPr="002B0330">
        <w:rPr>
          <w:sz w:val="22"/>
          <w:szCs w:val="22"/>
        </w:rPr>
        <w:t>I will no longer use Turnitin. It was too complex in terms of required settings on my part, and many students needed help mastering the interface. Both my students and I wasted too much time trying to get Peer Mark to work as we wanted it to. This semester, I will use Box for peer review</w:t>
      </w:r>
      <w:r>
        <w:rPr>
          <w:sz w:val="22"/>
          <w:szCs w:val="22"/>
        </w:rPr>
        <w:t>, which Mary Ann helped me set up</w:t>
      </w:r>
      <w:r w:rsidRPr="002B0330">
        <w:rPr>
          <w:sz w:val="22"/>
          <w:szCs w:val="22"/>
        </w:rPr>
        <w:t>. And going forward, Amy and Mary Ann tell me Canvas will allow for a more robust peer review function</w:t>
      </w:r>
      <w:r>
        <w:rPr>
          <w:sz w:val="22"/>
          <w:szCs w:val="22"/>
        </w:rPr>
        <w:t>, something I eagerly look forward to</w:t>
      </w:r>
      <w:r w:rsidRPr="002B0330">
        <w:rPr>
          <w:sz w:val="22"/>
          <w:szCs w:val="22"/>
        </w:rPr>
        <w:t>.</w:t>
      </w:r>
    </w:p>
    <w:p w:rsidR="009D7C6A" w:rsidRPr="002B0330" w:rsidRDefault="009D7C6A" w:rsidP="009D7C6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Perhaps the area of most concern to students was the value of the textbook (see </w:t>
      </w:r>
      <w:r w:rsidR="00DF342D">
        <w:rPr>
          <w:sz w:val="22"/>
          <w:szCs w:val="22"/>
        </w:rPr>
        <w:t>Table 1</w:t>
      </w:r>
      <w:r>
        <w:rPr>
          <w:sz w:val="22"/>
          <w:szCs w:val="22"/>
        </w:rPr>
        <w:t xml:space="preserve"> above). I’m not a big fan of textbooks myself, and I </w:t>
      </w:r>
      <w:r>
        <w:rPr>
          <w:sz w:val="22"/>
          <w:szCs w:val="22"/>
        </w:rPr>
        <w:t>will</w:t>
      </w:r>
      <w:r>
        <w:rPr>
          <w:sz w:val="22"/>
          <w:szCs w:val="22"/>
        </w:rPr>
        <w:t xml:space="preserve"> make it more of an additional resource and will rely more on the ones I make and collect, which students find more valuable</w:t>
      </w:r>
      <w:r w:rsidR="00DF342D">
        <w:rPr>
          <w:sz w:val="22"/>
          <w:szCs w:val="22"/>
        </w:rPr>
        <w:t xml:space="preserve"> (see Table 1 above)</w:t>
      </w:r>
      <w:r>
        <w:rPr>
          <w:sz w:val="22"/>
          <w:szCs w:val="22"/>
        </w:rPr>
        <w:t>.</w:t>
      </w:r>
    </w:p>
    <w:p w:rsidR="009D7C6A" w:rsidRPr="002B0330" w:rsidRDefault="009D7C6A" w:rsidP="009D7C6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“Simplify, simplify,” </w:t>
      </w:r>
      <w:r w:rsidRPr="002B0330">
        <w:rPr>
          <w:sz w:val="22"/>
          <w:szCs w:val="22"/>
        </w:rPr>
        <w:t>Henry David Thoreau so wisely advised. I did just that as the semester progressed and will do so again for the spring.</w:t>
      </w:r>
    </w:p>
    <w:p w:rsidR="009D7C6A" w:rsidRPr="002B0330" w:rsidRDefault="009D7C6A" w:rsidP="009D7C6A">
      <w:pPr>
        <w:numPr>
          <w:ilvl w:val="0"/>
          <w:numId w:val="3"/>
        </w:numPr>
        <w:rPr>
          <w:sz w:val="22"/>
          <w:szCs w:val="22"/>
        </w:rPr>
      </w:pPr>
      <w:r w:rsidRPr="002B0330">
        <w:rPr>
          <w:sz w:val="22"/>
          <w:szCs w:val="22"/>
        </w:rPr>
        <w:t xml:space="preserve">Consistent due dates—and the clear “What to Do and When to Do it” guidance—helped even the least disciplined students consistently meet deadlines. </w:t>
      </w:r>
    </w:p>
    <w:p w:rsidR="009D7C6A" w:rsidRPr="002B0330" w:rsidRDefault="009D7C6A" w:rsidP="009D7C6A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 learned that you can’t</w:t>
      </w:r>
      <w:r w:rsidRPr="002B0330">
        <w:rPr>
          <w:sz w:val="22"/>
          <w:szCs w:val="22"/>
        </w:rPr>
        <w:t xml:space="preserve"> simply put your face-to-face class onto the Web. </w:t>
      </w:r>
      <w:r>
        <w:rPr>
          <w:sz w:val="22"/>
          <w:szCs w:val="22"/>
        </w:rPr>
        <w:t>Though all my</w:t>
      </w:r>
      <w:r w:rsidRPr="002B0330">
        <w:rPr>
          <w:sz w:val="22"/>
          <w:szCs w:val="22"/>
        </w:rPr>
        <w:t xml:space="preserve"> goals</w:t>
      </w:r>
      <w:r>
        <w:rPr>
          <w:sz w:val="22"/>
          <w:szCs w:val="22"/>
        </w:rPr>
        <w:t xml:space="preserve"> remained the same</w:t>
      </w:r>
      <w:r w:rsidRPr="002B0330">
        <w:rPr>
          <w:sz w:val="22"/>
          <w:szCs w:val="22"/>
        </w:rPr>
        <w:t xml:space="preserve">, </w:t>
      </w:r>
      <w:r>
        <w:rPr>
          <w:sz w:val="22"/>
          <w:szCs w:val="22"/>
        </w:rPr>
        <w:t>altering materials is sometimes necessary for teaching in</w:t>
      </w:r>
      <w:r w:rsidRPr="002B0330">
        <w:rPr>
          <w:sz w:val="22"/>
          <w:szCs w:val="22"/>
        </w:rPr>
        <w:t xml:space="preserve"> an online environment</w:t>
      </w:r>
      <w:r>
        <w:rPr>
          <w:sz w:val="22"/>
          <w:szCs w:val="22"/>
        </w:rPr>
        <w:t>.</w:t>
      </w:r>
    </w:p>
    <w:p w:rsidR="009D7C6A" w:rsidRPr="002B0330" w:rsidRDefault="009D7C6A" w:rsidP="009D7C6A">
      <w:pPr>
        <w:numPr>
          <w:ilvl w:val="0"/>
          <w:numId w:val="3"/>
        </w:numPr>
        <w:rPr>
          <w:sz w:val="22"/>
          <w:szCs w:val="22"/>
        </w:rPr>
      </w:pPr>
      <w:r w:rsidRPr="002B0330">
        <w:rPr>
          <w:sz w:val="22"/>
          <w:szCs w:val="22"/>
        </w:rPr>
        <w:t xml:space="preserve">Inform the registrar’s office if you plan the course specifically for Berks students, as I did. Several students from around the state joined the class late, which caused a variety of problems, </w:t>
      </w:r>
      <w:r>
        <w:rPr>
          <w:sz w:val="22"/>
          <w:szCs w:val="22"/>
        </w:rPr>
        <w:t>including</w:t>
      </w:r>
      <w:r w:rsidRPr="002B0330">
        <w:rPr>
          <w:sz w:val="22"/>
          <w:szCs w:val="22"/>
        </w:rPr>
        <w:t xml:space="preserve"> these: the textbook was not available in their bookstore or campus library; collaborative projects that required students to meet face-to-face were impossible to complete; and the extra incentives I provided to come to my office hours were not available to them.  A</w:t>
      </w:r>
      <w:r>
        <w:rPr>
          <w:sz w:val="22"/>
          <w:szCs w:val="22"/>
        </w:rPr>
        <w:t>lso,</w:t>
      </w:r>
      <w:r w:rsidRPr="002B0330">
        <w:rPr>
          <w:sz w:val="22"/>
          <w:szCs w:val="22"/>
        </w:rPr>
        <w:t xml:space="preserve"> if </w:t>
      </w:r>
      <w:r>
        <w:rPr>
          <w:sz w:val="22"/>
          <w:szCs w:val="22"/>
        </w:rPr>
        <w:t>you teach</w:t>
      </w:r>
      <w:r w:rsidRPr="002B0330">
        <w:rPr>
          <w:sz w:val="22"/>
          <w:szCs w:val="22"/>
        </w:rPr>
        <w:t xml:space="preserve"> a class which typically has 25 students but the enrollment limit is 50, you could find yourself with a much larger class. These potential problems can be avoided if you notify the registrar to restrict the enrollment to Berks students.  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b/>
          <w:sz w:val="22"/>
          <w:szCs w:val="22"/>
        </w:rPr>
        <w:t>Conclusion</w:t>
      </w: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Though I knew that creating an online class would require a lot of work before the semester began, I underestimated, of course, just how time-consuming it was to do it well. But I found that the lessons I learned through this project made it much easier and quicker to des</w:t>
      </w:r>
      <w:r w:rsidR="00DF342D">
        <w:rPr>
          <w:sz w:val="22"/>
          <w:szCs w:val="22"/>
        </w:rPr>
        <w:t>ign another online class. In</w:t>
      </w:r>
      <w:r w:rsidRPr="002B0330">
        <w:rPr>
          <w:sz w:val="22"/>
          <w:szCs w:val="22"/>
        </w:rPr>
        <w:t xml:space="preserve"> spring 2016, I am teaching a course I never taught before—Writing for the Web. And I was able to create a hybrid class (which will be Web only next year) in much less time.  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>As I stated previously, I wanted to find out whether I could achieve good results in an online only class—without the strength of my in-class persona. In short</w:t>
      </w:r>
      <w:r>
        <w:rPr>
          <w:sz w:val="22"/>
          <w:szCs w:val="22"/>
        </w:rPr>
        <w:t xml:space="preserve">, I feel I did. And my students </w:t>
      </w:r>
      <w:r w:rsidRPr="002B0330">
        <w:rPr>
          <w:sz w:val="22"/>
          <w:szCs w:val="22"/>
        </w:rPr>
        <w:t>validated that conclusion in their anonymous survey responses</w:t>
      </w:r>
      <w:r>
        <w:rPr>
          <w:sz w:val="22"/>
          <w:szCs w:val="22"/>
        </w:rPr>
        <w:t xml:space="preserve"> and SRTE’s</w:t>
      </w:r>
      <w:r w:rsidRPr="002B0330">
        <w:rPr>
          <w:sz w:val="22"/>
          <w:szCs w:val="22"/>
        </w:rPr>
        <w:t>. I couldn’t be happier. And though I have much to refine going forward, I succeeded in adopting new pedagogical theories and technologies to create a meaningful class that students enjoy</w:t>
      </w:r>
      <w:r w:rsidR="00DF342D">
        <w:rPr>
          <w:sz w:val="22"/>
          <w:szCs w:val="22"/>
        </w:rPr>
        <w:t xml:space="preserve"> and find valuable</w:t>
      </w:r>
      <w:bookmarkStart w:id="0" w:name="_GoBack"/>
      <w:bookmarkEnd w:id="0"/>
      <w:r w:rsidRPr="002B0330">
        <w:rPr>
          <w:sz w:val="22"/>
          <w:szCs w:val="22"/>
        </w:rPr>
        <w:t xml:space="preserve">. </w:t>
      </w:r>
    </w:p>
    <w:p w:rsidR="009D7C6A" w:rsidRPr="002B0330" w:rsidRDefault="009D7C6A" w:rsidP="009D7C6A">
      <w:pPr>
        <w:rPr>
          <w:sz w:val="22"/>
          <w:szCs w:val="22"/>
        </w:rPr>
      </w:pP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b/>
          <w:sz w:val="22"/>
          <w:szCs w:val="22"/>
        </w:rPr>
        <w:t>Acknowledgements</w:t>
      </w:r>
    </w:p>
    <w:p w:rsidR="009D7C6A" w:rsidRPr="002B0330" w:rsidRDefault="009D7C6A" w:rsidP="009D7C6A">
      <w:pPr>
        <w:rPr>
          <w:sz w:val="22"/>
          <w:szCs w:val="22"/>
        </w:rPr>
      </w:pPr>
      <w:r w:rsidRPr="002B0330">
        <w:rPr>
          <w:sz w:val="22"/>
          <w:szCs w:val="22"/>
        </w:rPr>
        <w:t xml:space="preserve">I cannot emphasize enough the valuable guidance and contributions that Amy Roche and Mary Ann Mengel made in carrying out this grant. They were so helpful and always available whenever and </w:t>
      </w:r>
      <w:r w:rsidRPr="002B0330">
        <w:rPr>
          <w:sz w:val="22"/>
          <w:szCs w:val="22"/>
        </w:rPr>
        <w:lastRenderedPageBreak/>
        <w:t xml:space="preserve">however I needed them. Without them, this endeavor would have turned out </w:t>
      </w:r>
      <w:r>
        <w:rPr>
          <w:sz w:val="22"/>
          <w:szCs w:val="22"/>
        </w:rPr>
        <w:t xml:space="preserve">quite </w:t>
      </w:r>
      <w:r w:rsidRPr="002B0330">
        <w:rPr>
          <w:sz w:val="22"/>
          <w:szCs w:val="22"/>
        </w:rPr>
        <w:t>differently</w:t>
      </w:r>
      <w:r>
        <w:rPr>
          <w:sz w:val="22"/>
          <w:szCs w:val="22"/>
        </w:rPr>
        <w:t>—and not in a good way. And their continued help even after the implementation semester ended has been invaluable as well</w:t>
      </w:r>
      <w:r w:rsidRPr="002B0330">
        <w:rPr>
          <w:sz w:val="22"/>
          <w:szCs w:val="22"/>
        </w:rPr>
        <w:t>.</w:t>
      </w:r>
      <w:r>
        <w:rPr>
          <w:sz w:val="22"/>
          <w:szCs w:val="22"/>
        </w:rPr>
        <w:t xml:space="preserve"> Many t</w:t>
      </w:r>
      <w:r w:rsidRPr="002B0330">
        <w:rPr>
          <w:sz w:val="22"/>
          <w:szCs w:val="22"/>
        </w:rPr>
        <w:t>hanks to them—and to Penn State Berks admi</w:t>
      </w:r>
      <w:r>
        <w:rPr>
          <w:sz w:val="22"/>
          <w:szCs w:val="22"/>
        </w:rPr>
        <w:t>nistration—for this opportunity!</w:t>
      </w:r>
    </w:p>
    <w:p w:rsidR="00166805" w:rsidRDefault="00166805"/>
    <w:sectPr w:rsidR="00166805" w:rsidSect="006B5937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60" w:rsidRDefault="00DF342D" w:rsidP="00044560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B16560" w:rsidRDefault="00DF342D" w:rsidP="0004456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60" w:rsidRPr="001C5CC2" w:rsidRDefault="00DF342D" w:rsidP="00044560">
    <w:pPr>
      <w:pStyle w:val="Head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t>Baker</w:t>
    </w:r>
    <w:r w:rsidRPr="001C5CC2">
      <w:rPr>
        <w:rStyle w:val="PageNumber"/>
        <w:rFonts w:eastAsiaTheme="majorEastAsia"/>
      </w:rPr>
      <w:t xml:space="preserve"> </w:t>
    </w:r>
    <w:r w:rsidRPr="001C5CC2">
      <w:rPr>
        <w:rStyle w:val="PageNumber"/>
        <w:rFonts w:eastAsiaTheme="majorEastAsia"/>
      </w:rPr>
      <w:fldChar w:fldCharType="begin"/>
    </w:r>
    <w:r w:rsidRPr="001C5CC2">
      <w:rPr>
        <w:rStyle w:val="PageNumber"/>
        <w:rFonts w:eastAsiaTheme="majorEastAsia"/>
      </w:rPr>
      <w:instrText xml:space="preserve">PAGE  </w:instrText>
    </w:r>
    <w:r w:rsidRPr="001C5CC2"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4</w:t>
    </w:r>
    <w:r w:rsidRPr="001C5CC2">
      <w:rPr>
        <w:rStyle w:val="PageNumber"/>
        <w:rFonts w:eastAsiaTheme="majorEastAsia"/>
      </w:rPr>
      <w:fldChar w:fldCharType="end"/>
    </w:r>
  </w:p>
  <w:p w:rsidR="00B16560" w:rsidRPr="001C5CC2" w:rsidRDefault="00DF342D" w:rsidP="000445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66687"/>
    <w:multiLevelType w:val="hybridMultilevel"/>
    <w:tmpl w:val="47A047D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3EB7249D"/>
    <w:multiLevelType w:val="hybridMultilevel"/>
    <w:tmpl w:val="B56C8124"/>
    <w:lvl w:ilvl="0" w:tplc="629C5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C65B5"/>
    <w:multiLevelType w:val="hybridMultilevel"/>
    <w:tmpl w:val="29843996"/>
    <w:lvl w:ilvl="0" w:tplc="629C5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C6A"/>
    <w:rsid w:val="00166805"/>
    <w:rsid w:val="009D7C6A"/>
    <w:rsid w:val="00DF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CC47E0-F7F1-4415-B2C1-32A29F50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C6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rsid w:val="009D7C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7C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D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lb1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16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LEE BAKER</dc:creator>
  <cp:keywords/>
  <dc:description/>
  <cp:lastModifiedBy>TERRY LEE BAKER</cp:lastModifiedBy>
  <cp:revision>1</cp:revision>
  <dcterms:created xsi:type="dcterms:W3CDTF">2016-01-15T13:10:00Z</dcterms:created>
  <dcterms:modified xsi:type="dcterms:W3CDTF">2016-01-15T13:26:00Z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